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5F9C" w14:textId="77777777" w:rsidR="008C4269" w:rsidRPr="008C4269" w:rsidRDefault="008C4269" w:rsidP="008C4269">
      <w:pPr>
        <w:shd w:val="clear" w:color="auto" w:fill="17365D"/>
        <w:spacing w:after="200" w:line="276" w:lineRule="auto"/>
        <w:rPr>
          <w:rFonts w:eastAsia="Calibri"/>
          <w:b/>
          <w:sz w:val="40"/>
          <w:szCs w:val="40"/>
        </w:rPr>
      </w:pPr>
      <w:bookmarkStart w:id="0" w:name="_GoBack"/>
      <w:bookmarkEnd w:id="0"/>
      <w:r w:rsidRPr="008C4269">
        <w:rPr>
          <w:rFonts w:eastAsia="Calibri"/>
          <w:b/>
          <w:sz w:val="40"/>
          <w:szCs w:val="40"/>
        </w:rPr>
        <w:t>HARROW COUNCIL</w:t>
      </w:r>
    </w:p>
    <w:p w14:paraId="2E48E347" w14:textId="77777777" w:rsidR="008C4269" w:rsidRPr="008C4269" w:rsidRDefault="008C4269" w:rsidP="008C4269">
      <w:pPr>
        <w:shd w:val="clear" w:color="auto" w:fill="17365D"/>
        <w:spacing w:after="200" w:line="276" w:lineRule="auto"/>
        <w:rPr>
          <w:rFonts w:eastAsia="Calibri"/>
          <w:b/>
          <w:sz w:val="40"/>
          <w:szCs w:val="40"/>
        </w:rPr>
      </w:pPr>
      <w:r>
        <w:rPr>
          <w:rFonts w:eastAsia="Calibri"/>
          <w:b/>
          <w:sz w:val="40"/>
          <w:szCs w:val="40"/>
        </w:rPr>
        <w:t>Corporate Anti-Fraud Team</w:t>
      </w:r>
      <w:r w:rsidR="003D7965">
        <w:rPr>
          <w:rFonts w:eastAsia="Calibri"/>
          <w:b/>
          <w:sz w:val="40"/>
          <w:szCs w:val="40"/>
        </w:rPr>
        <w:t xml:space="preserve"> Year End </w:t>
      </w:r>
      <w:r w:rsidRPr="008C4269">
        <w:rPr>
          <w:rFonts w:eastAsia="Calibri"/>
          <w:b/>
          <w:sz w:val="40"/>
          <w:szCs w:val="40"/>
        </w:rPr>
        <w:t>Report</w:t>
      </w:r>
    </w:p>
    <w:p w14:paraId="3D43DB28" w14:textId="77777777" w:rsidR="008C4269" w:rsidRPr="008C4269" w:rsidRDefault="00836D3C" w:rsidP="008C4269">
      <w:pPr>
        <w:shd w:val="clear" w:color="auto" w:fill="17365D"/>
        <w:spacing w:after="200" w:line="276" w:lineRule="auto"/>
        <w:rPr>
          <w:rFonts w:eastAsia="Calibri"/>
          <w:b/>
          <w:sz w:val="40"/>
          <w:szCs w:val="40"/>
        </w:rPr>
      </w:pPr>
      <w:r>
        <w:rPr>
          <w:rFonts w:eastAsia="Calibri"/>
          <w:b/>
          <w:sz w:val="40"/>
          <w:szCs w:val="40"/>
        </w:rPr>
        <w:t>20</w:t>
      </w:r>
      <w:r w:rsidR="008C4269" w:rsidRPr="008C4269">
        <w:rPr>
          <w:rFonts w:eastAsia="Calibri"/>
          <w:b/>
          <w:sz w:val="40"/>
          <w:szCs w:val="40"/>
        </w:rPr>
        <w:t>19</w:t>
      </w:r>
      <w:r>
        <w:rPr>
          <w:rFonts w:eastAsia="Calibri"/>
          <w:b/>
          <w:sz w:val="40"/>
          <w:szCs w:val="40"/>
        </w:rPr>
        <w:t>/20</w:t>
      </w:r>
      <w:r w:rsidR="008C4269" w:rsidRPr="008C4269">
        <w:rPr>
          <w:rFonts w:eastAsia="Calibri"/>
          <w:b/>
          <w:sz w:val="40"/>
          <w:szCs w:val="40"/>
        </w:rPr>
        <w:br/>
      </w:r>
    </w:p>
    <w:p w14:paraId="6F3B687E" w14:textId="77777777" w:rsidR="008C4269" w:rsidRDefault="008C4269" w:rsidP="00F0044D">
      <w:pPr>
        <w:ind w:left="60"/>
        <w:jc w:val="both"/>
        <w:rPr>
          <w:b/>
          <w:color w:val="000000"/>
          <w:lang w:val="en-US"/>
        </w:rPr>
      </w:pPr>
    </w:p>
    <w:p w14:paraId="5524973E" w14:textId="77777777" w:rsidR="008C4269" w:rsidRPr="008C4269" w:rsidRDefault="008C4269" w:rsidP="008C4269">
      <w:pPr>
        <w:spacing w:after="200" w:line="276" w:lineRule="auto"/>
        <w:rPr>
          <w:rFonts w:eastAsia="Calibri"/>
          <w:b/>
          <w:sz w:val="40"/>
          <w:szCs w:val="40"/>
        </w:rPr>
      </w:pPr>
      <w:r w:rsidRPr="008C4269">
        <w:rPr>
          <w:rFonts w:eastAsia="Calibri"/>
          <w:b/>
          <w:sz w:val="40"/>
          <w:szCs w:val="40"/>
        </w:rPr>
        <w:t>CONTENTS:</w:t>
      </w:r>
    </w:p>
    <w:p w14:paraId="77CB0DE5" w14:textId="77777777" w:rsidR="00D93810" w:rsidRDefault="008C4269" w:rsidP="008C4269">
      <w:pPr>
        <w:spacing w:after="200" w:line="276" w:lineRule="auto"/>
        <w:rPr>
          <w:rFonts w:eastAsia="Calibri"/>
          <w:b/>
          <w:sz w:val="40"/>
          <w:szCs w:val="40"/>
        </w:rPr>
      </w:pPr>
      <w:r w:rsidRPr="008C4269">
        <w:rPr>
          <w:rFonts w:eastAsia="Calibri"/>
          <w:b/>
          <w:sz w:val="40"/>
          <w:szCs w:val="40"/>
        </w:rPr>
        <w:t>Introduction</w:t>
      </w:r>
    </w:p>
    <w:p w14:paraId="43E10B5E" w14:textId="77777777" w:rsidR="00D93810" w:rsidRDefault="00D93810" w:rsidP="008C4269">
      <w:pPr>
        <w:spacing w:after="200" w:line="276" w:lineRule="auto"/>
        <w:rPr>
          <w:rFonts w:eastAsia="Calibri"/>
          <w:b/>
          <w:sz w:val="40"/>
          <w:szCs w:val="40"/>
        </w:rPr>
      </w:pPr>
      <w:r>
        <w:rPr>
          <w:rFonts w:eastAsia="Calibri"/>
          <w:b/>
          <w:sz w:val="40"/>
          <w:szCs w:val="40"/>
        </w:rPr>
        <w:t>Summary of Outcomes</w:t>
      </w:r>
    </w:p>
    <w:p w14:paraId="2B7DF4AF" w14:textId="2EA90185" w:rsidR="00301A0D" w:rsidRDefault="00A36A7E" w:rsidP="008C4269">
      <w:pPr>
        <w:spacing w:after="200" w:line="276" w:lineRule="auto"/>
        <w:rPr>
          <w:rFonts w:eastAsia="Calibri"/>
          <w:b/>
          <w:sz w:val="40"/>
          <w:szCs w:val="40"/>
        </w:rPr>
      </w:pPr>
      <w:r>
        <w:rPr>
          <w:rFonts w:eastAsia="Calibri"/>
          <w:b/>
          <w:sz w:val="40"/>
          <w:szCs w:val="40"/>
        </w:rPr>
        <w:t>Outcomes</w:t>
      </w:r>
      <w:r w:rsidR="00301A0D">
        <w:rPr>
          <w:rFonts w:eastAsia="Calibri"/>
          <w:b/>
          <w:sz w:val="40"/>
          <w:szCs w:val="40"/>
        </w:rPr>
        <w:t xml:space="preserve"> against the Plan</w:t>
      </w:r>
    </w:p>
    <w:p w14:paraId="1A20A7C2" w14:textId="77777777" w:rsidR="00301A0D" w:rsidRDefault="00016305" w:rsidP="008C4269">
      <w:pPr>
        <w:spacing w:after="200" w:line="276" w:lineRule="auto"/>
        <w:rPr>
          <w:rFonts w:eastAsia="Calibri"/>
          <w:b/>
          <w:sz w:val="40"/>
          <w:szCs w:val="40"/>
        </w:rPr>
      </w:pPr>
      <w:r>
        <w:rPr>
          <w:rFonts w:eastAsia="Calibri"/>
          <w:b/>
          <w:sz w:val="40"/>
          <w:szCs w:val="40"/>
        </w:rPr>
        <w:t>Performance of Anti-Fraud Team</w:t>
      </w:r>
    </w:p>
    <w:p w14:paraId="71D06A35" w14:textId="77777777" w:rsidR="008C4269" w:rsidRPr="008C4269" w:rsidRDefault="00301A0D" w:rsidP="008C4269">
      <w:pPr>
        <w:spacing w:after="200" w:line="276" w:lineRule="auto"/>
        <w:rPr>
          <w:rFonts w:eastAsia="Calibri"/>
          <w:b/>
          <w:sz w:val="40"/>
          <w:szCs w:val="40"/>
        </w:rPr>
      </w:pPr>
      <w:r>
        <w:rPr>
          <w:rFonts w:eastAsia="Calibri"/>
          <w:b/>
          <w:sz w:val="40"/>
          <w:szCs w:val="40"/>
        </w:rPr>
        <w:t>Fraud referrals, outcomes and savings summary</w:t>
      </w:r>
      <w:r w:rsidR="00D93810">
        <w:rPr>
          <w:rFonts w:eastAsia="Calibri"/>
          <w:b/>
          <w:sz w:val="40"/>
          <w:szCs w:val="40"/>
        </w:rPr>
        <w:br w:type="page"/>
      </w:r>
    </w:p>
    <w:p w14:paraId="63875DF3" w14:textId="77777777" w:rsidR="00C0282A" w:rsidRPr="008C4269" w:rsidRDefault="00C0282A" w:rsidP="00C0282A">
      <w:pPr>
        <w:shd w:val="clear" w:color="auto" w:fill="17365D"/>
        <w:ind w:left="-142"/>
        <w:rPr>
          <w:rFonts w:eastAsia="Calibri"/>
          <w:b/>
          <w:sz w:val="40"/>
          <w:szCs w:val="40"/>
        </w:rPr>
      </w:pPr>
      <w:r w:rsidRPr="008C4269">
        <w:rPr>
          <w:rFonts w:eastAsia="Calibri"/>
          <w:b/>
          <w:sz w:val="40"/>
          <w:szCs w:val="40"/>
        </w:rPr>
        <w:lastRenderedPageBreak/>
        <w:t>Introduction</w:t>
      </w:r>
    </w:p>
    <w:p w14:paraId="5B2C264A" w14:textId="77777777" w:rsidR="008C4269" w:rsidRPr="008C4269" w:rsidRDefault="008C4269" w:rsidP="008C4269">
      <w:pPr>
        <w:rPr>
          <w:rFonts w:eastAsia="Calibri"/>
          <w:b/>
        </w:rPr>
      </w:pPr>
    </w:p>
    <w:p w14:paraId="47C5DE1E" w14:textId="77777777" w:rsidR="008C4269" w:rsidRPr="00AB021E" w:rsidRDefault="008C4269" w:rsidP="008C4269">
      <w:pPr>
        <w:rPr>
          <w:rFonts w:eastAsia="Calibri"/>
        </w:rPr>
      </w:pPr>
      <w:r w:rsidRPr="00AB021E">
        <w:rPr>
          <w:rFonts w:eastAsia="Calibri"/>
          <w:lang w:val="en-US"/>
        </w:rPr>
        <w:t xml:space="preserve">This report outlines the corporate ant-fraud </w:t>
      </w:r>
      <w:r w:rsidR="00806A12" w:rsidRPr="00AB021E">
        <w:rPr>
          <w:rFonts w:eastAsia="Calibri"/>
          <w:lang w:val="en-US"/>
        </w:rPr>
        <w:t xml:space="preserve">work carried out </w:t>
      </w:r>
      <w:r w:rsidR="00D93C64" w:rsidRPr="00AB021E">
        <w:rPr>
          <w:rFonts w:eastAsia="Calibri"/>
          <w:lang w:val="en-US"/>
        </w:rPr>
        <w:t xml:space="preserve">for the year </w:t>
      </w:r>
      <w:r w:rsidR="00806A12" w:rsidRPr="00AB021E">
        <w:rPr>
          <w:rFonts w:eastAsia="Calibri"/>
          <w:lang w:val="en-US"/>
        </w:rPr>
        <w:t>2019-20</w:t>
      </w:r>
      <w:r w:rsidR="00BC4DED" w:rsidRPr="00AB021E">
        <w:rPr>
          <w:rFonts w:eastAsia="Calibri"/>
          <w:lang w:val="en-US"/>
        </w:rPr>
        <w:t>.  The plan is risk based and developed through consultation int</w:t>
      </w:r>
      <w:r w:rsidR="00473BCD" w:rsidRPr="00AB021E">
        <w:rPr>
          <w:rFonts w:eastAsia="Calibri"/>
          <w:lang w:val="en-US"/>
        </w:rPr>
        <w:t xml:space="preserve">ernally and </w:t>
      </w:r>
      <w:r w:rsidR="00BC4DED" w:rsidRPr="00AB021E">
        <w:rPr>
          <w:rFonts w:eastAsia="Calibri"/>
          <w:lang w:val="en-US"/>
        </w:rPr>
        <w:t xml:space="preserve">drawing upon external sources of data to ensure that </w:t>
      </w:r>
      <w:r w:rsidR="00473BCD" w:rsidRPr="00AB021E">
        <w:rPr>
          <w:rFonts w:eastAsia="Calibri"/>
          <w:lang w:val="en-US"/>
        </w:rPr>
        <w:t xml:space="preserve">where possible best practice is followed (see CIPFA Fraud Code Self-Assessment below) and </w:t>
      </w:r>
      <w:r w:rsidR="00BC4DED" w:rsidRPr="00AB021E">
        <w:rPr>
          <w:rFonts w:eastAsia="Calibri"/>
          <w:lang w:val="en-US"/>
        </w:rPr>
        <w:t xml:space="preserve">fraud resources are targeted at those areas of the authority </w:t>
      </w:r>
      <w:r w:rsidR="00473BCD" w:rsidRPr="00AB021E">
        <w:rPr>
          <w:rFonts w:eastAsia="Calibri"/>
          <w:lang w:val="en-US"/>
        </w:rPr>
        <w:t>deemed</w:t>
      </w:r>
      <w:r w:rsidR="00BC4DED" w:rsidRPr="00AB021E">
        <w:rPr>
          <w:rFonts w:eastAsia="Calibri"/>
          <w:lang w:val="en-US"/>
        </w:rPr>
        <w:t xml:space="preserve"> to be of highest risk to fraud with the greatest potential </w:t>
      </w:r>
      <w:r w:rsidR="00473BCD" w:rsidRPr="00AB021E">
        <w:rPr>
          <w:rFonts w:eastAsia="Calibri"/>
          <w:lang w:val="en-US"/>
        </w:rPr>
        <w:t xml:space="preserve">negative </w:t>
      </w:r>
      <w:r w:rsidR="00BC4DED" w:rsidRPr="00AB021E">
        <w:rPr>
          <w:rFonts w:eastAsia="Calibri"/>
          <w:lang w:val="en-US"/>
        </w:rPr>
        <w:t>financial impact and/or reputational damage.  The plan is approved by the Governance, Audit, Risk Management &amp; Standards Committee</w:t>
      </w:r>
      <w:r w:rsidR="00473BCD" w:rsidRPr="00AB021E">
        <w:rPr>
          <w:rFonts w:eastAsia="Calibri"/>
          <w:lang w:val="en-US"/>
        </w:rPr>
        <w:t xml:space="preserve"> (GARMS) </w:t>
      </w:r>
      <w:r w:rsidR="00BC4DED" w:rsidRPr="00AB021E">
        <w:rPr>
          <w:rFonts w:eastAsia="Calibri"/>
          <w:lang w:val="en-US"/>
        </w:rPr>
        <w:t xml:space="preserve">annually </w:t>
      </w:r>
      <w:r w:rsidR="00473BCD" w:rsidRPr="00AB021E">
        <w:rPr>
          <w:rFonts w:eastAsia="Calibri"/>
          <w:lang w:val="en-US"/>
        </w:rPr>
        <w:t xml:space="preserve">and mid-year and year end progress reports provided against the plan </w:t>
      </w:r>
      <w:r w:rsidR="00BC4DED" w:rsidRPr="00AB021E">
        <w:rPr>
          <w:rFonts w:eastAsia="Calibri"/>
          <w:lang w:val="en-US"/>
        </w:rPr>
        <w:t>to provide a level of assurance around the authorities’ fraud risk resilience capability</w:t>
      </w:r>
      <w:r w:rsidR="00473BCD" w:rsidRPr="00AB021E">
        <w:rPr>
          <w:rFonts w:eastAsia="Calibri"/>
          <w:lang w:val="en-US"/>
        </w:rPr>
        <w:t xml:space="preserve">. </w:t>
      </w:r>
      <w:r w:rsidR="00D66156" w:rsidRPr="00AB021E">
        <w:rPr>
          <w:rFonts w:eastAsia="Calibri"/>
          <w:lang w:val="en-US"/>
        </w:rPr>
        <w:t xml:space="preserve"> </w:t>
      </w:r>
    </w:p>
    <w:p w14:paraId="0CE6FAB2" w14:textId="77777777" w:rsidR="00F0044D" w:rsidRPr="00AB021E" w:rsidRDefault="00F0044D" w:rsidP="00F0044D">
      <w:pPr>
        <w:ind w:left="60"/>
        <w:jc w:val="both"/>
        <w:rPr>
          <w:b/>
          <w:lang w:val="en-US"/>
        </w:rPr>
      </w:pPr>
    </w:p>
    <w:p w14:paraId="142C3152" w14:textId="77777777" w:rsidR="008C4269" w:rsidRPr="008C4269" w:rsidRDefault="008C4269" w:rsidP="008C4269">
      <w:pPr>
        <w:shd w:val="clear" w:color="auto" w:fill="17365D"/>
        <w:ind w:left="-142" w:firstLine="142"/>
        <w:rPr>
          <w:rFonts w:eastAsia="Calibri"/>
          <w:b/>
          <w:sz w:val="40"/>
          <w:szCs w:val="40"/>
        </w:rPr>
      </w:pPr>
      <w:r w:rsidRPr="008C4269">
        <w:rPr>
          <w:rFonts w:eastAsia="Calibri"/>
          <w:b/>
          <w:sz w:val="40"/>
          <w:szCs w:val="40"/>
        </w:rPr>
        <w:t xml:space="preserve">Summary of </w:t>
      </w:r>
      <w:r>
        <w:rPr>
          <w:rFonts w:eastAsia="Calibri"/>
          <w:b/>
          <w:sz w:val="40"/>
          <w:szCs w:val="40"/>
        </w:rPr>
        <w:t>Outcomes</w:t>
      </w:r>
    </w:p>
    <w:p w14:paraId="7E6CC22B" w14:textId="77777777" w:rsidR="008C4269" w:rsidRDefault="008C4269" w:rsidP="00EF7582">
      <w:pPr>
        <w:tabs>
          <w:tab w:val="left" w:pos="4335"/>
        </w:tabs>
        <w:rPr>
          <w:b/>
        </w:rPr>
      </w:pPr>
    </w:p>
    <w:p w14:paraId="77B8C424" w14:textId="1254A0BF" w:rsidR="008C4269" w:rsidRPr="00857436" w:rsidRDefault="008C4269" w:rsidP="008C4269">
      <w:pPr>
        <w:rPr>
          <w:rFonts w:eastAsia="Calibri"/>
        </w:rPr>
      </w:pPr>
      <w:r w:rsidRPr="00857436">
        <w:rPr>
          <w:rFonts w:eastAsia="Calibri"/>
        </w:rPr>
        <w:t>A summary of key outputs from the programme of corporate anti-fraud work for the year</w:t>
      </w:r>
      <w:r w:rsidR="00473BCD" w:rsidRPr="00857436">
        <w:rPr>
          <w:rFonts w:eastAsia="Calibri"/>
        </w:rPr>
        <w:t xml:space="preserve"> is recorded in the table below.  </w:t>
      </w:r>
      <w:r w:rsidR="00435CBB" w:rsidRPr="00857436">
        <w:rPr>
          <w:rFonts w:eastAsia="Calibri"/>
        </w:rPr>
        <w:t>Of the 17</w:t>
      </w:r>
      <w:r w:rsidR="00473BCD" w:rsidRPr="00857436">
        <w:rPr>
          <w:rFonts w:eastAsia="Calibri"/>
        </w:rPr>
        <w:t xml:space="preserve"> work stre</w:t>
      </w:r>
      <w:r w:rsidR="00C0043F" w:rsidRPr="00857436">
        <w:rPr>
          <w:rFonts w:eastAsia="Calibri"/>
        </w:rPr>
        <w:t xml:space="preserve">ams contained within the plan, </w:t>
      </w:r>
      <w:r w:rsidR="00857436" w:rsidRPr="00857436">
        <w:rPr>
          <w:rFonts w:eastAsia="Calibri"/>
        </w:rPr>
        <w:t xml:space="preserve">12 (70%) were achieved, 2 (12%) were partially achieved and 3 (18%) were not achieved.  </w:t>
      </w:r>
      <w:r w:rsidR="00435CBB" w:rsidRPr="00857436">
        <w:rPr>
          <w:rFonts w:eastAsia="Calibri"/>
        </w:rPr>
        <w:t xml:space="preserve">4 out of the </w:t>
      </w:r>
      <w:r w:rsidR="00EF4E7B" w:rsidRPr="00857436">
        <w:rPr>
          <w:rFonts w:eastAsia="Calibri"/>
        </w:rPr>
        <w:t>5 key perf</w:t>
      </w:r>
      <w:r w:rsidR="00435CBB" w:rsidRPr="00857436">
        <w:rPr>
          <w:rFonts w:eastAsia="Calibri"/>
        </w:rPr>
        <w:t xml:space="preserve">ormance indicators </w:t>
      </w:r>
      <w:r w:rsidR="00857436" w:rsidRPr="00857436">
        <w:rPr>
          <w:rFonts w:eastAsia="Calibri"/>
        </w:rPr>
        <w:t xml:space="preserve">were </w:t>
      </w:r>
      <w:r w:rsidR="00857436">
        <w:rPr>
          <w:rFonts w:eastAsia="Calibri"/>
        </w:rPr>
        <w:t>achieved</w:t>
      </w:r>
      <w:r w:rsidR="00857436" w:rsidRPr="00857436">
        <w:rPr>
          <w:rFonts w:eastAsia="Calibri"/>
        </w:rPr>
        <w:t xml:space="preserve"> (80%) whilst 1 (20%) was not </w:t>
      </w:r>
      <w:r w:rsidR="00857436">
        <w:rPr>
          <w:rFonts w:eastAsia="Calibri"/>
        </w:rPr>
        <w:t>achieved</w:t>
      </w:r>
      <w:r w:rsidR="00EF4E7B" w:rsidRPr="00857436">
        <w:rPr>
          <w:rFonts w:eastAsia="Calibri"/>
        </w:rPr>
        <w:t xml:space="preserve">. </w:t>
      </w:r>
      <w:r w:rsidR="00473BCD" w:rsidRPr="00857436">
        <w:rPr>
          <w:rFonts w:eastAsia="Calibri"/>
        </w:rPr>
        <w:t xml:space="preserve">   </w:t>
      </w:r>
    </w:p>
    <w:p w14:paraId="06498C79" w14:textId="77777777" w:rsidR="00F0044D" w:rsidRPr="00F36F13" w:rsidRDefault="00EF7582" w:rsidP="00EF7582">
      <w:pPr>
        <w:tabs>
          <w:tab w:val="left" w:pos="4335"/>
        </w:tabs>
        <w:rPr>
          <w:b/>
          <w:color w:val="FF0000"/>
        </w:rPr>
      </w:pPr>
      <w:r w:rsidRPr="00F36F13">
        <w:rPr>
          <w:b/>
          <w:color w:val="FF0000"/>
        </w:rPr>
        <w:tab/>
      </w:r>
    </w:p>
    <w:p w14:paraId="4E9EA6F1" w14:textId="77777777" w:rsidR="00F0044D" w:rsidRPr="00F36F13" w:rsidRDefault="00473BCD" w:rsidP="00F0044D">
      <w:pPr>
        <w:jc w:val="center"/>
        <w:rPr>
          <w:b/>
          <w:color w:val="FF0000"/>
        </w:rPr>
      </w:pPr>
      <w:r w:rsidRPr="00F36F13">
        <w:rPr>
          <w:b/>
          <w:color w:val="FF0000"/>
        </w:rPr>
        <w:br w:type="page"/>
      </w:r>
    </w:p>
    <w:tbl>
      <w:tblPr>
        <w:tblW w:w="13183" w:type="dxa"/>
        <w:tblInd w:w="-34" w:type="dxa"/>
        <w:tblLayout w:type="fixed"/>
        <w:tblLook w:val="0000" w:firstRow="0" w:lastRow="0" w:firstColumn="0" w:lastColumn="0" w:noHBand="0" w:noVBand="0"/>
      </w:tblPr>
      <w:tblGrid>
        <w:gridCol w:w="576"/>
        <w:gridCol w:w="3961"/>
        <w:gridCol w:w="8646"/>
      </w:tblGrid>
      <w:tr w:rsidR="0017605D" w:rsidRPr="00380629" w14:paraId="1CD15656" w14:textId="77777777" w:rsidTr="0017605D">
        <w:trPr>
          <w:trHeight w:val="602"/>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3777531A" w14:textId="77777777" w:rsidR="0017605D" w:rsidRDefault="0017605D" w:rsidP="007816FE">
            <w:pPr>
              <w:rPr>
                <w:b/>
                <w:bCs/>
                <w:sz w:val="20"/>
                <w:szCs w:val="20"/>
                <w:lang w:val="en-US"/>
              </w:rPr>
            </w:pPr>
          </w:p>
        </w:tc>
        <w:tc>
          <w:tcPr>
            <w:tcW w:w="3961" w:type="dxa"/>
            <w:tcBorders>
              <w:top w:val="single" w:sz="4" w:space="0" w:color="auto"/>
              <w:left w:val="single" w:sz="4" w:space="0" w:color="auto"/>
              <w:bottom w:val="single" w:sz="4" w:space="0" w:color="auto"/>
              <w:right w:val="single" w:sz="4" w:space="0" w:color="auto"/>
            </w:tcBorders>
            <w:shd w:val="clear" w:color="auto" w:fill="17365D"/>
            <w:noWrap/>
            <w:vAlign w:val="bottom"/>
          </w:tcPr>
          <w:p w14:paraId="77BBE755" w14:textId="77777777" w:rsidR="0017605D" w:rsidRDefault="0017605D" w:rsidP="007816FE">
            <w:pPr>
              <w:rPr>
                <w:b/>
                <w:bCs/>
                <w:sz w:val="20"/>
                <w:szCs w:val="20"/>
                <w:lang w:val="en-US"/>
              </w:rPr>
            </w:pPr>
          </w:p>
          <w:p w14:paraId="7EA68E61" w14:textId="77777777" w:rsidR="0017605D" w:rsidRDefault="0017605D" w:rsidP="007816FE">
            <w:pPr>
              <w:rPr>
                <w:b/>
                <w:bCs/>
                <w:sz w:val="20"/>
                <w:szCs w:val="20"/>
                <w:lang w:val="en-US"/>
              </w:rPr>
            </w:pPr>
            <w:r>
              <w:rPr>
                <w:b/>
                <w:bCs/>
                <w:sz w:val="20"/>
                <w:szCs w:val="20"/>
                <w:lang w:val="en-US"/>
              </w:rPr>
              <w:t>Fraud work stream</w:t>
            </w:r>
          </w:p>
          <w:p w14:paraId="56B10BA9" w14:textId="77777777" w:rsidR="0017605D" w:rsidRPr="00380629" w:rsidRDefault="0017605D" w:rsidP="007816FE">
            <w:pPr>
              <w:rPr>
                <w:b/>
                <w:bCs/>
                <w:sz w:val="20"/>
                <w:szCs w:val="20"/>
                <w:lang w:val="en-US"/>
              </w:rPr>
            </w:pPr>
          </w:p>
        </w:tc>
        <w:tc>
          <w:tcPr>
            <w:tcW w:w="8646" w:type="dxa"/>
            <w:tcBorders>
              <w:top w:val="single" w:sz="4" w:space="0" w:color="auto"/>
              <w:left w:val="nil"/>
              <w:bottom w:val="single" w:sz="4" w:space="0" w:color="auto"/>
              <w:right w:val="single" w:sz="4" w:space="0" w:color="auto"/>
            </w:tcBorders>
            <w:shd w:val="clear" w:color="auto" w:fill="17365D"/>
            <w:vAlign w:val="center"/>
          </w:tcPr>
          <w:p w14:paraId="611925F0" w14:textId="77777777" w:rsidR="0017605D" w:rsidRPr="00380629" w:rsidRDefault="0035136B" w:rsidP="008937A7">
            <w:pPr>
              <w:rPr>
                <w:b/>
                <w:bCs/>
                <w:sz w:val="20"/>
                <w:szCs w:val="20"/>
                <w:lang w:val="en-US"/>
              </w:rPr>
            </w:pPr>
            <w:r>
              <w:rPr>
                <w:b/>
                <w:bCs/>
                <w:sz w:val="20"/>
                <w:szCs w:val="20"/>
                <w:lang w:val="en-US"/>
              </w:rPr>
              <w:t xml:space="preserve">2019-20 </w:t>
            </w:r>
            <w:r w:rsidR="00110C22">
              <w:rPr>
                <w:b/>
                <w:bCs/>
                <w:sz w:val="20"/>
                <w:szCs w:val="20"/>
                <w:lang w:val="en-US"/>
              </w:rPr>
              <w:t>Year end outcome</w:t>
            </w:r>
          </w:p>
        </w:tc>
      </w:tr>
      <w:tr w:rsidR="0017605D" w:rsidRPr="0075312F" w14:paraId="3521760A"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25E9D52B" w14:textId="77777777" w:rsidR="0017605D" w:rsidRDefault="0017605D" w:rsidP="007816FE">
            <w:pPr>
              <w:rPr>
                <w:sz w:val="20"/>
                <w:szCs w:val="20"/>
                <w:lang w:val="en-US"/>
              </w:rPr>
            </w:pPr>
            <w:r>
              <w:rPr>
                <w:sz w:val="20"/>
                <w:szCs w:val="20"/>
                <w:lang w:val="en-US"/>
              </w:rPr>
              <w:t>1</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16A3A7BE" w14:textId="77777777" w:rsidR="0017605D" w:rsidRPr="007C6042" w:rsidRDefault="0017605D" w:rsidP="00313433">
            <w:pPr>
              <w:rPr>
                <w:b/>
                <w:sz w:val="20"/>
                <w:szCs w:val="20"/>
                <w:lang w:val="en-US"/>
              </w:rPr>
            </w:pPr>
            <w:r w:rsidRPr="007C6042">
              <w:rPr>
                <w:b/>
                <w:sz w:val="20"/>
                <w:szCs w:val="20"/>
                <w:lang w:val="en-US"/>
              </w:rPr>
              <w:t>Corporate fraud risk assessment</w:t>
            </w:r>
          </w:p>
          <w:p w14:paraId="1F66E4B0" w14:textId="77777777" w:rsidR="0017605D" w:rsidRPr="007C6042" w:rsidRDefault="0017605D" w:rsidP="00313433">
            <w:pPr>
              <w:rPr>
                <w:b/>
                <w:sz w:val="20"/>
                <w:szCs w:val="20"/>
                <w:lang w:val="en-US"/>
              </w:rPr>
            </w:pPr>
          </w:p>
          <w:p w14:paraId="49600469" w14:textId="77777777" w:rsidR="0017605D" w:rsidRPr="007C6042" w:rsidRDefault="0017605D" w:rsidP="008E2196">
            <w:pPr>
              <w:rPr>
                <w:sz w:val="20"/>
                <w:szCs w:val="20"/>
                <w:lang w:val="en-US"/>
              </w:rPr>
            </w:pPr>
            <w:r w:rsidRPr="007C6042">
              <w:rPr>
                <w:sz w:val="20"/>
                <w:szCs w:val="20"/>
                <w:lang w:val="en-US"/>
              </w:rPr>
              <w:t>Identify and assess Harrow’s fraud risk exposure affecting the principle activities in order to fully understand changing patterns in fraud and corruption threats and the potential harmful consequences to the authority and our customers</w:t>
            </w:r>
          </w:p>
          <w:p w14:paraId="03960D22" w14:textId="77777777" w:rsidR="0017605D" w:rsidRPr="007C6042" w:rsidRDefault="0017605D" w:rsidP="00313433">
            <w:pPr>
              <w:rPr>
                <w:b/>
                <w:sz w:val="20"/>
                <w:szCs w:val="20"/>
                <w:lang w:val="en-US"/>
              </w:rPr>
            </w:pPr>
          </w:p>
        </w:tc>
        <w:tc>
          <w:tcPr>
            <w:tcW w:w="8646" w:type="dxa"/>
            <w:tcBorders>
              <w:top w:val="single" w:sz="4" w:space="0" w:color="auto"/>
              <w:left w:val="nil"/>
              <w:bottom w:val="single" w:sz="4" w:space="0" w:color="auto"/>
              <w:right w:val="single" w:sz="4" w:space="0" w:color="auto"/>
            </w:tcBorders>
            <w:shd w:val="clear" w:color="auto" w:fill="auto"/>
          </w:tcPr>
          <w:p w14:paraId="0B3D7E1F" w14:textId="2F9787E4" w:rsidR="00146C51" w:rsidRPr="00B05F71" w:rsidRDefault="00D93C64" w:rsidP="00146C51">
            <w:pPr>
              <w:rPr>
                <w:rFonts w:cs="Times New Roman"/>
                <w:b/>
                <w:sz w:val="20"/>
                <w:szCs w:val="20"/>
              </w:rPr>
            </w:pPr>
            <w:r w:rsidRPr="00B05F71">
              <w:rPr>
                <w:rFonts w:cs="Times New Roman"/>
                <w:b/>
                <w:sz w:val="20"/>
                <w:szCs w:val="20"/>
              </w:rPr>
              <w:t xml:space="preserve">Objective </w:t>
            </w:r>
            <w:r w:rsidR="00B05F71">
              <w:rPr>
                <w:rFonts w:cs="Times New Roman"/>
                <w:b/>
                <w:sz w:val="20"/>
                <w:szCs w:val="20"/>
              </w:rPr>
              <w:t>achieved</w:t>
            </w:r>
          </w:p>
          <w:p w14:paraId="6292CF24" w14:textId="75099246" w:rsidR="007535FF" w:rsidRPr="004052E3" w:rsidRDefault="00D93C64" w:rsidP="00146C51">
            <w:pPr>
              <w:rPr>
                <w:rFonts w:cs="Times New Roman"/>
                <w:color w:val="FF0000"/>
                <w:sz w:val="20"/>
                <w:szCs w:val="20"/>
              </w:rPr>
            </w:pPr>
            <w:r w:rsidRPr="00B05F71">
              <w:rPr>
                <w:rFonts w:cs="Times New Roman"/>
                <w:sz w:val="20"/>
                <w:szCs w:val="20"/>
              </w:rPr>
              <w:t>This task is undertaken annually which feed</w:t>
            </w:r>
            <w:r w:rsidR="00110C22" w:rsidRPr="00B05F71">
              <w:rPr>
                <w:rFonts w:cs="Times New Roman"/>
                <w:sz w:val="20"/>
                <w:szCs w:val="20"/>
              </w:rPr>
              <w:t>s</w:t>
            </w:r>
            <w:r w:rsidRPr="00B05F71">
              <w:rPr>
                <w:rFonts w:cs="Times New Roman"/>
                <w:sz w:val="20"/>
                <w:szCs w:val="20"/>
              </w:rPr>
              <w:t xml:space="preserve"> into the development of the annual plan for the following year.  The </w:t>
            </w:r>
            <w:r w:rsidR="00146C51" w:rsidRPr="00B05F71">
              <w:rPr>
                <w:rFonts w:cs="Times New Roman"/>
                <w:sz w:val="20"/>
                <w:szCs w:val="20"/>
              </w:rPr>
              <w:t xml:space="preserve">adjusted </w:t>
            </w:r>
            <w:r w:rsidRPr="00B05F71">
              <w:rPr>
                <w:rFonts w:cs="Times New Roman"/>
                <w:sz w:val="20"/>
                <w:szCs w:val="20"/>
              </w:rPr>
              <w:t>annual plan for 2020-21 will be presented to the Committee in October 2020</w:t>
            </w:r>
            <w:r w:rsidRPr="004052E3">
              <w:rPr>
                <w:rFonts w:cs="Times New Roman"/>
                <w:color w:val="FF0000"/>
                <w:sz w:val="20"/>
                <w:szCs w:val="20"/>
              </w:rPr>
              <w:t>.</w:t>
            </w:r>
          </w:p>
        </w:tc>
      </w:tr>
      <w:tr w:rsidR="0017605D" w:rsidRPr="0075312F" w14:paraId="5BDA102C"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5FBA2EEE" w14:textId="77777777" w:rsidR="0017605D" w:rsidRDefault="0017605D" w:rsidP="007816FE">
            <w:pPr>
              <w:rPr>
                <w:sz w:val="20"/>
                <w:szCs w:val="20"/>
                <w:lang w:val="en-US"/>
              </w:rPr>
            </w:pPr>
            <w:r>
              <w:rPr>
                <w:sz w:val="20"/>
                <w:szCs w:val="20"/>
                <w:lang w:val="en-US"/>
              </w:rPr>
              <w:t>2.</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04A73D60" w14:textId="77777777" w:rsidR="0017605D" w:rsidRPr="007C6042" w:rsidRDefault="0017605D" w:rsidP="00B008B3">
            <w:pPr>
              <w:rPr>
                <w:b/>
                <w:sz w:val="20"/>
                <w:szCs w:val="20"/>
                <w:lang w:val="en-US"/>
              </w:rPr>
            </w:pPr>
            <w:r w:rsidRPr="007C6042">
              <w:rPr>
                <w:b/>
                <w:sz w:val="20"/>
                <w:szCs w:val="20"/>
                <w:lang w:val="en-US"/>
              </w:rPr>
              <w:t>CIPFA Fraud Code Self-Assessment</w:t>
            </w:r>
          </w:p>
          <w:p w14:paraId="1EEA4858" w14:textId="77777777" w:rsidR="0017605D" w:rsidRPr="007C6042" w:rsidRDefault="0017605D" w:rsidP="00B008B3">
            <w:pPr>
              <w:rPr>
                <w:b/>
                <w:sz w:val="20"/>
                <w:szCs w:val="20"/>
                <w:lang w:val="en-US"/>
              </w:rPr>
            </w:pPr>
          </w:p>
          <w:p w14:paraId="1CE621DA" w14:textId="77777777" w:rsidR="0017605D" w:rsidRDefault="0017605D" w:rsidP="00793A5F">
            <w:pPr>
              <w:rPr>
                <w:sz w:val="20"/>
                <w:szCs w:val="20"/>
                <w:lang w:val="en-US"/>
              </w:rPr>
            </w:pPr>
            <w:r w:rsidRPr="007C6042">
              <w:rPr>
                <w:sz w:val="20"/>
                <w:szCs w:val="20"/>
                <w:lang w:val="en-US"/>
              </w:rPr>
              <w:t xml:space="preserve">Undertake an annual self-assessment against the CIPFA Code of Managing the Risk of Fraud &amp; Corruption </w:t>
            </w:r>
          </w:p>
          <w:p w14:paraId="43AD5F6B" w14:textId="77777777" w:rsidR="00793A5F" w:rsidRPr="007C6042" w:rsidRDefault="00793A5F" w:rsidP="00793A5F">
            <w:pPr>
              <w:rPr>
                <w:sz w:val="20"/>
                <w:szCs w:val="20"/>
                <w:lang w:val="en-US"/>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6D3260B0" w14:textId="77777777" w:rsidR="009E325F" w:rsidRPr="00B05F71" w:rsidRDefault="008D38C6" w:rsidP="00BD7139">
            <w:pPr>
              <w:pStyle w:val="Default"/>
              <w:rPr>
                <w:b/>
                <w:color w:val="auto"/>
                <w:sz w:val="20"/>
                <w:szCs w:val="20"/>
              </w:rPr>
            </w:pPr>
            <w:r w:rsidRPr="00B05F71">
              <w:rPr>
                <w:b/>
                <w:color w:val="auto"/>
                <w:sz w:val="20"/>
                <w:szCs w:val="20"/>
              </w:rPr>
              <w:t>Objective a</w:t>
            </w:r>
            <w:r w:rsidR="009E325F" w:rsidRPr="00B05F71">
              <w:rPr>
                <w:b/>
                <w:color w:val="auto"/>
                <w:sz w:val="20"/>
                <w:szCs w:val="20"/>
              </w:rPr>
              <w:t>chieved</w:t>
            </w:r>
          </w:p>
          <w:p w14:paraId="110B8048" w14:textId="0FF7439B" w:rsidR="000E22E9" w:rsidRPr="00B05F71" w:rsidRDefault="006747AE" w:rsidP="00BD7139">
            <w:pPr>
              <w:pStyle w:val="Default"/>
              <w:rPr>
                <w:color w:val="auto"/>
                <w:sz w:val="20"/>
                <w:szCs w:val="20"/>
              </w:rPr>
            </w:pPr>
            <w:r w:rsidRPr="00B05F71">
              <w:rPr>
                <w:color w:val="auto"/>
                <w:sz w:val="20"/>
                <w:szCs w:val="20"/>
              </w:rPr>
              <w:t xml:space="preserve">78% compliance </w:t>
            </w:r>
            <w:r w:rsidR="00D93C64" w:rsidRPr="00B05F71">
              <w:rPr>
                <w:color w:val="auto"/>
                <w:sz w:val="20"/>
                <w:szCs w:val="20"/>
              </w:rPr>
              <w:t>with the code ha</w:t>
            </w:r>
            <w:r w:rsidR="00B05F71" w:rsidRPr="00B05F71">
              <w:rPr>
                <w:color w:val="auto"/>
                <w:sz w:val="20"/>
                <w:szCs w:val="20"/>
              </w:rPr>
              <w:t>s</w:t>
            </w:r>
            <w:r w:rsidR="00D93C64" w:rsidRPr="00B05F71">
              <w:rPr>
                <w:color w:val="auto"/>
                <w:sz w:val="20"/>
                <w:szCs w:val="20"/>
              </w:rPr>
              <w:t xml:space="preserve"> been achieved </w:t>
            </w:r>
            <w:r w:rsidRPr="00B05F71">
              <w:rPr>
                <w:color w:val="auto"/>
                <w:sz w:val="20"/>
                <w:szCs w:val="20"/>
              </w:rPr>
              <w:t>which is a good level of</w:t>
            </w:r>
            <w:r w:rsidR="00BD7139" w:rsidRPr="00B05F71">
              <w:rPr>
                <w:color w:val="auto"/>
                <w:sz w:val="20"/>
                <w:szCs w:val="20"/>
              </w:rPr>
              <w:t xml:space="preserve"> compliance with the </w:t>
            </w:r>
            <w:r w:rsidR="009E325F" w:rsidRPr="00B05F71">
              <w:rPr>
                <w:color w:val="auto"/>
                <w:sz w:val="20"/>
                <w:szCs w:val="20"/>
              </w:rPr>
              <w:t>code which remains unchanged from 2018/19</w:t>
            </w:r>
            <w:r w:rsidR="00BC5076" w:rsidRPr="00B05F71">
              <w:rPr>
                <w:color w:val="auto"/>
                <w:sz w:val="20"/>
                <w:szCs w:val="20"/>
              </w:rPr>
              <w:t>.</w:t>
            </w:r>
            <w:r w:rsidR="00D93C64" w:rsidRPr="00B05F71">
              <w:rPr>
                <w:color w:val="auto"/>
                <w:sz w:val="20"/>
                <w:szCs w:val="20"/>
              </w:rPr>
              <w:t xml:space="preserve">  Consideration</w:t>
            </w:r>
            <w:r w:rsidR="00AC5897" w:rsidRPr="00B05F71">
              <w:rPr>
                <w:color w:val="auto"/>
                <w:sz w:val="20"/>
                <w:szCs w:val="20"/>
              </w:rPr>
              <w:t xml:space="preserve"> </w:t>
            </w:r>
            <w:r w:rsidR="00D93C64" w:rsidRPr="00B05F71">
              <w:rPr>
                <w:color w:val="auto"/>
                <w:sz w:val="20"/>
                <w:szCs w:val="20"/>
              </w:rPr>
              <w:t xml:space="preserve">will be given to drafting </w:t>
            </w:r>
            <w:r w:rsidR="00D66156" w:rsidRPr="00B05F71">
              <w:rPr>
                <w:color w:val="auto"/>
                <w:sz w:val="20"/>
                <w:szCs w:val="20"/>
              </w:rPr>
              <w:t>a</w:t>
            </w:r>
            <w:r w:rsidR="00B05F71">
              <w:rPr>
                <w:color w:val="auto"/>
                <w:sz w:val="20"/>
                <w:szCs w:val="20"/>
              </w:rPr>
              <w:t>n action</w:t>
            </w:r>
            <w:r w:rsidR="00D66156" w:rsidRPr="00B05F71">
              <w:rPr>
                <w:color w:val="auto"/>
                <w:sz w:val="20"/>
                <w:szCs w:val="20"/>
              </w:rPr>
              <w:t xml:space="preserve"> plan for Committee to co</w:t>
            </w:r>
            <w:r w:rsidR="00110C22" w:rsidRPr="00B05F71">
              <w:rPr>
                <w:color w:val="auto"/>
                <w:sz w:val="20"/>
                <w:szCs w:val="20"/>
              </w:rPr>
              <w:t>nsider</w:t>
            </w:r>
            <w:r w:rsidR="00D66156" w:rsidRPr="00B05F71">
              <w:rPr>
                <w:color w:val="auto"/>
                <w:sz w:val="20"/>
                <w:szCs w:val="20"/>
              </w:rPr>
              <w:t xml:space="preserve"> on </w:t>
            </w:r>
            <w:r w:rsidR="00110C22" w:rsidRPr="00B05F71">
              <w:rPr>
                <w:color w:val="auto"/>
                <w:sz w:val="20"/>
                <w:szCs w:val="20"/>
              </w:rPr>
              <w:t xml:space="preserve">whether to implement </w:t>
            </w:r>
            <w:r w:rsidR="00B05F71">
              <w:rPr>
                <w:color w:val="auto"/>
                <w:sz w:val="20"/>
                <w:szCs w:val="20"/>
              </w:rPr>
              <w:t>if the authority is to continue to improve above 78% compliance</w:t>
            </w:r>
          </w:p>
          <w:p w14:paraId="4D980EF9" w14:textId="77777777" w:rsidR="000E22E9" w:rsidRDefault="000E22E9" w:rsidP="00BD7139">
            <w:pPr>
              <w:pStyle w:val="Default"/>
              <w:rPr>
                <w:color w:val="FF0000"/>
                <w:sz w:val="20"/>
                <w:szCs w:val="20"/>
              </w:rPr>
            </w:pPr>
          </w:p>
          <w:p w14:paraId="40B43174" w14:textId="37EE0DEE" w:rsidR="006747AE" w:rsidRPr="009E325F" w:rsidRDefault="006747AE" w:rsidP="00BD7139">
            <w:pPr>
              <w:pStyle w:val="Default"/>
              <w:rPr>
                <w:sz w:val="20"/>
                <w:szCs w:val="20"/>
              </w:rPr>
            </w:pPr>
          </w:p>
        </w:tc>
      </w:tr>
      <w:tr w:rsidR="0069329D" w:rsidRPr="007C6042" w14:paraId="2D643E28" w14:textId="77777777" w:rsidTr="004E23DA">
        <w:trPr>
          <w:trHeight w:val="251"/>
        </w:trPr>
        <w:tc>
          <w:tcPr>
            <w:tcW w:w="576" w:type="dxa"/>
            <w:tcBorders>
              <w:top w:val="single" w:sz="4" w:space="0" w:color="auto"/>
              <w:left w:val="single" w:sz="4" w:space="0" w:color="auto"/>
              <w:bottom w:val="single" w:sz="4" w:space="0" w:color="auto"/>
              <w:right w:val="single" w:sz="4" w:space="0" w:color="auto"/>
            </w:tcBorders>
          </w:tcPr>
          <w:p w14:paraId="57AB4A70" w14:textId="77777777" w:rsidR="0069329D" w:rsidRDefault="0069329D" w:rsidP="004E23DA">
            <w:pPr>
              <w:rPr>
                <w:sz w:val="20"/>
                <w:szCs w:val="20"/>
                <w:lang w:val="en-US"/>
              </w:rPr>
            </w:pPr>
            <w:r>
              <w:rPr>
                <w:sz w:val="20"/>
                <w:szCs w:val="20"/>
                <w:lang w:val="en-US"/>
              </w:rPr>
              <w:t>3</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61539E73" w14:textId="77777777" w:rsidR="0069329D" w:rsidRPr="007C6042" w:rsidRDefault="0069329D" w:rsidP="004E23DA">
            <w:pPr>
              <w:rPr>
                <w:b/>
                <w:sz w:val="20"/>
                <w:szCs w:val="20"/>
                <w:lang w:val="en-US"/>
              </w:rPr>
            </w:pPr>
            <w:r w:rsidRPr="007C6042">
              <w:rPr>
                <w:b/>
                <w:sz w:val="20"/>
                <w:szCs w:val="20"/>
                <w:lang w:val="en-US"/>
              </w:rPr>
              <w:t xml:space="preserve">Corporate fraud risk register </w:t>
            </w:r>
          </w:p>
          <w:p w14:paraId="5FF293F7" w14:textId="77777777" w:rsidR="0069329D" w:rsidRPr="007C6042" w:rsidRDefault="0069329D" w:rsidP="004E23DA">
            <w:pPr>
              <w:rPr>
                <w:b/>
                <w:sz w:val="20"/>
                <w:szCs w:val="20"/>
                <w:lang w:val="en-US"/>
              </w:rPr>
            </w:pPr>
          </w:p>
          <w:p w14:paraId="78236409" w14:textId="77777777" w:rsidR="0069329D" w:rsidRPr="007C6042" w:rsidRDefault="00793A5F" w:rsidP="004E23DA">
            <w:pPr>
              <w:rPr>
                <w:sz w:val="20"/>
                <w:szCs w:val="20"/>
                <w:lang w:val="en-US"/>
              </w:rPr>
            </w:pPr>
            <w:r>
              <w:rPr>
                <w:sz w:val="20"/>
                <w:szCs w:val="20"/>
                <w:lang w:val="en-US"/>
              </w:rPr>
              <w:t xml:space="preserve">Review </w:t>
            </w:r>
            <w:r w:rsidR="0069329D" w:rsidRPr="007C6042">
              <w:rPr>
                <w:sz w:val="20"/>
                <w:szCs w:val="20"/>
                <w:lang w:val="en-US"/>
              </w:rPr>
              <w:t xml:space="preserve">and facilitate the updating of the fraud risk register </w:t>
            </w:r>
            <w:r>
              <w:rPr>
                <w:sz w:val="20"/>
                <w:szCs w:val="20"/>
                <w:lang w:val="en-US"/>
              </w:rPr>
              <w:t xml:space="preserve">annually </w:t>
            </w:r>
            <w:r w:rsidR="0069329D" w:rsidRPr="007C6042">
              <w:rPr>
                <w:sz w:val="20"/>
                <w:szCs w:val="20"/>
                <w:lang w:val="en-US"/>
              </w:rPr>
              <w:t xml:space="preserve">where significant fraud and corruption </w:t>
            </w:r>
            <w:r>
              <w:rPr>
                <w:sz w:val="20"/>
                <w:szCs w:val="20"/>
                <w:lang w:val="en-US"/>
              </w:rPr>
              <w:t>risks are identified, mitigated and</w:t>
            </w:r>
            <w:r w:rsidR="0069329D" w:rsidRPr="007C6042">
              <w:rPr>
                <w:sz w:val="20"/>
                <w:szCs w:val="20"/>
                <w:lang w:val="en-US"/>
              </w:rPr>
              <w:t xml:space="preserve"> monito</w:t>
            </w:r>
            <w:r>
              <w:rPr>
                <w:sz w:val="20"/>
                <w:szCs w:val="20"/>
                <w:lang w:val="en-US"/>
              </w:rPr>
              <w:t>red</w:t>
            </w:r>
            <w:r w:rsidR="0069329D" w:rsidRPr="007C6042">
              <w:rPr>
                <w:sz w:val="20"/>
                <w:szCs w:val="20"/>
                <w:lang w:val="en-US"/>
              </w:rPr>
              <w:t xml:space="preserve"> </w:t>
            </w:r>
          </w:p>
          <w:p w14:paraId="00C1B066" w14:textId="77777777" w:rsidR="0069329D" w:rsidRPr="007C6042" w:rsidRDefault="0069329D" w:rsidP="004E23DA">
            <w:pPr>
              <w:rPr>
                <w:b/>
                <w:sz w:val="20"/>
                <w:szCs w:val="20"/>
                <w:lang w:val="en-US"/>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2198E7BD" w14:textId="77777777" w:rsidR="006747AE" w:rsidRPr="00B05F71" w:rsidRDefault="00930342" w:rsidP="004E23DA">
            <w:pPr>
              <w:rPr>
                <w:rFonts w:cs="Times New Roman"/>
                <w:b/>
                <w:sz w:val="20"/>
                <w:szCs w:val="20"/>
              </w:rPr>
            </w:pPr>
            <w:r w:rsidRPr="00B05F71">
              <w:rPr>
                <w:rFonts w:cs="Times New Roman"/>
                <w:b/>
                <w:sz w:val="20"/>
                <w:szCs w:val="20"/>
              </w:rPr>
              <w:t>Objective not</w:t>
            </w:r>
            <w:r w:rsidR="00D66156" w:rsidRPr="00B05F71">
              <w:rPr>
                <w:rFonts w:cs="Times New Roman"/>
                <w:b/>
                <w:sz w:val="20"/>
                <w:szCs w:val="20"/>
              </w:rPr>
              <w:t xml:space="preserve"> achieved</w:t>
            </w:r>
          </w:p>
          <w:p w14:paraId="01FEF75C" w14:textId="5417F475" w:rsidR="0069329D" w:rsidRPr="004052E3" w:rsidRDefault="00D66156" w:rsidP="004E23DA">
            <w:pPr>
              <w:rPr>
                <w:rFonts w:cs="Times New Roman"/>
                <w:color w:val="FF0000"/>
                <w:sz w:val="20"/>
                <w:szCs w:val="20"/>
              </w:rPr>
            </w:pPr>
            <w:r w:rsidRPr="00B05F71">
              <w:rPr>
                <w:rFonts w:cs="Times New Roman"/>
                <w:sz w:val="20"/>
                <w:szCs w:val="20"/>
              </w:rPr>
              <w:t xml:space="preserve">This was not achieved due to </w:t>
            </w:r>
            <w:r w:rsidR="005D3873">
              <w:rPr>
                <w:rFonts w:cs="Times New Roman"/>
                <w:sz w:val="20"/>
                <w:szCs w:val="20"/>
              </w:rPr>
              <w:t>a lack of capacity</w:t>
            </w:r>
            <w:r w:rsidRPr="00B05F71">
              <w:rPr>
                <w:rFonts w:cs="Times New Roman"/>
                <w:sz w:val="20"/>
                <w:szCs w:val="20"/>
              </w:rPr>
              <w:t>, but this is mitigated somewhat with the corporate fraud risk assessment work completed annually</w:t>
            </w:r>
            <w:r w:rsidR="00110C22" w:rsidRPr="00B05F71">
              <w:rPr>
                <w:rFonts w:cs="Times New Roman"/>
                <w:sz w:val="20"/>
                <w:szCs w:val="20"/>
              </w:rPr>
              <w:t xml:space="preserve"> that feeds into the development of the </w:t>
            </w:r>
            <w:r w:rsidR="004052E3" w:rsidRPr="00B05F71">
              <w:rPr>
                <w:rFonts w:cs="Times New Roman"/>
                <w:sz w:val="20"/>
                <w:szCs w:val="20"/>
              </w:rPr>
              <w:t>annual plan</w:t>
            </w:r>
            <w:r w:rsidR="005D3873">
              <w:rPr>
                <w:rFonts w:cs="Times New Roman"/>
                <w:sz w:val="20"/>
                <w:szCs w:val="20"/>
              </w:rPr>
              <w:t>.</w:t>
            </w:r>
          </w:p>
        </w:tc>
      </w:tr>
      <w:tr w:rsidR="0069329D" w:rsidRPr="0017605D" w14:paraId="5AF84C50" w14:textId="77777777" w:rsidTr="0069329D">
        <w:trPr>
          <w:trHeight w:val="251"/>
        </w:trPr>
        <w:tc>
          <w:tcPr>
            <w:tcW w:w="576" w:type="dxa"/>
            <w:tcBorders>
              <w:top w:val="single" w:sz="4" w:space="0" w:color="auto"/>
              <w:left w:val="single" w:sz="4" w:space="0" w:color="auto"/>
              <w:bottom w:val="single" w:sz="4" w:space="0" w:color="auto"/>
              <w:right w:val="single" w:sz="4" w:space="0" w:color="auto"/>
            </w:tcBorders>
          </w:tcPr>
          <w:p w14:paraId="79B1496D" w14:textId="77777777" w:rsidR="0069329D" w:rsidRDefault="0069329D" w:rsidP="004E23DA">
            <w:pPr>
              <w:rPr>
                <w:sz w:val="20"/>
                <w:szCs w:val="20"/>
                <w:lang w:val="en-US"/>
              </w:rPr>
            </w:pPr>
            <w:r>
              <w:rPr>
                <w:sz w:val="20"/>
                <w:szCs w:val="20"/>
                <w:lang w:val="en-US"/>
              </w:rPr>
              <w:t>4</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215ADF56" w14:textId="77777777" w:rsidR="0069329D" w:rsidRPr="0017605D" w:rsidRDefault="0069329D" w:rsidP="004E23DA">
            <w:pPr>
              <w:rPr>
                <w:b/>
                <w:sz w:val="20"/>
                <w:szCs w:val="20"/>
                <w:lang w:val="en-US"/>
              </w:rPr>
            </w:pPr>
            <w:r w:rsidRPr="0017605D">
              <w:rPr>
                <w:b/>
                <w:sz w:val="20"/>
                <w:szCs w:val="20"/>
                <w:lang w:val="en-US"/>
              </w:rPr>
              <w:t>Corporate Anti-Fraud &amp; Corruption Strategy</w:t>
            </w:r>
          </w:p>
          <w:p w14:paraId="3636A45C" w14:textId="77777777" w:rsidR="0069329D" w:rsidRPr="0017605D" w:rsidRDefault="0069329D" w:rsidP="004E23DA">
            <w:pPr>
              <w:rPr>
                <w:b/>
                <w:sz w:val="20"/>
                <w:szCs w:val="20"/>
                <w:lang w:val="en-US"/>
              </w:rPr>
            </w:pPr>
          </w:p>
          <w:p w14:paraId="694C2726" w14:textId="77777777" w:rsidR="0069329D" w:rsidRPr="004052E3" w:rsidRDefault="0069329D" w:rsidP="004E23DA">
            <w:pPr>
              <w:rPr>
                <w:sz w:val="20"/>
                <w:szCs w:val="20"/>
                <w:lang w:val="en-US"/>
              </w:rPr>
            </w:pPr>
            <w:r w:rsidRPr="0069329D">
              <w:rPr>
                <w:sz w:val="20"/>
                <w:szCs w:val="20"/>
                <w:lang w:val="en-US"/>
              </w:rPr>
              <w:t>Review the Corporate Anti-Fraud &amp; Corruption Strategy 2016-19 that links to Harrow’s corporate priorities, the overall goal of improving resilience to fraud and corruption and fully reflecting the fraud and corruption risks faced by the authority</w:t>
            </w:r>
            <w:r w:rsidR="00342C71">
              <w:rPr>
                <w:sz w:val="20"/>
                <w:szCs w:val="20"/>
                <w:lang w:val="en-US"/>
              </w:rPr>
              <w:t xml:space="preserve">.  Timing of the review will depend on the completed review/refresh of the Fighting Fraud &amp; Corruption Locally Strategy that is being undertaken in 2019/20 by the FFCL Board </w:t>
            </w:r>
            <w:r w:rsidRPr="0069329D">
              <w:rPr>
                <w:sz w:val="20"/>
                <w:szCs w:val="20"/>
                <w:lang w:val="en-US"/>
              </w:rPr>
              <w:t xml:space="preserve">  </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2986D2D2" w14:textId="37A04517" w:rsidR="0069329D" w:rsidRPr="005D3873" w:rsidRDefault="00930342" w:rsidP="004E23DA">
            <w:pPr>
              <w:rPr>
                <w:rFonts w:cs="Times New Roman"/>
                <w:b/>
                <w:sz w:val="20"/>
                <w:szCs w:val="20"/>
              </w:rPr>
            </w:pPr>
            <w:r w:rsidRPr="005D3873">
              <w:rPr>
                <w:rFonts w:cs="Times New Roman"/>
                <w:b/>
                <w:sz w:val="20"/>
                <w:szCs w:val="20"/>
              </w:rPr>
              <w:t>Objective not</w:t>
            </w:r>
            <w:r w:rsidR="005D3873" w:rsidRPr="005D3873">
              <w:rPr>
                <w:rFonts w:cs="Times New Roman"/>
                <w:b/>
                <w:sz w:val="20"/>
                <w:szCs w:val="20"/>
              </w:rPr>
              <w:t xml:space="preserve"> achieved due to</w:t>
            </w:r>
            <w:r w:rsidR="005D3873">
              <w:rPr>
                <w:rFonts w:cs="Times New Roman"/>
                <w:b/>
                <w:sz w:val="20"/>
                <w:szCs w:val="20"/>
              </w:rPr>
              <w:t xml:space="preserve"> </w:t>
            </w:r>
            <w:r w:rsidR="009734B6">
              <w:rPr>
                <w:rFonts w:cs="Times New Roman"/>
                <w:b/>
                <w:sz w:val="20"/>
                <w:szCs w:val="20"/>
              </w:rPr>
              <w:t>timing of FFCL strategy</w:t>
            </w:r>
            <w:r w:rsidR="005D3873">
              <w:rPr>
                <w:rFonts w:cs="Times New Roman"/>
                <w:b/>
                <w:sz w:val="20"/>
                <w:szCs w:val="20"/>
              </w:rPr>
              <w:t xml:space="preserve"> release</w:t>
            </w:r>
          </w:p>
          <w:p w14:paraId="345278FD" w14:textId="3989E788" w:rsidR="0069329D" w:rsidRPr="004052E3" w:rsidRDefault="004052E3" w:rsidP="004E23DA">
            <w:pPr>
              <w:rPr>
                <w:rFonts w:cs="Times New Roman"/>
                <w:color w:val="FF0000"/>
                <w:sz w:val="20"/>
                <w:szCs w:val="20"/>
              </w:rPr>
            </w:pPr>
            <w:r w:rsidRPr="005D3873">
              <w:rPr>
                <w:rFonts w:cs="Times New Roman"/>
                <w:sz w:val="20"/>
                <w:szCs w:val="20"/>
              </w:rPr>
              <w:t xml:space="preserve">The </w:t>
            </w:r>
            <w:r w:rsidR="00336634" w:rsidRPr="005D3873">
              <w:rPr>
                <w:rFonts w:cs="Times New Roman"/>
                <w:sz w:val="20"/>
                <w:szCs w:val="20"/>
              </w:rPr>
              <w:t>Counter Fraud and Corruption Strategy for Local Government</w:t>
            </w:r>
            <w:r w:rsidRPr="005D3873">
              <w:rPr>
                <w:rFonts w:cs="Times New Roman"/>
                <w:sz w:val="20"/>
                <w:szCs w:val="20"/>
              </w:rPr>
              <w:t xml:space="preserve"> was </w:t>
            </w:r>
            <w:r w:rsidR="005D3873" w:rsidRPr="005D3873">
              <w:rPr>
                <w:rFonts w:cs="Times New Roman"/>
                <w:sz w:val="20"/>
                <w:szCs w:val="20"/>
              </w:rPr>
              <w:t>published</w:t>
            </w:r>
            <w:r w:rsidRPr="005D3873">
              <w:rPr>
                <w:rFonts w:cs="Times New Roman"/>
                <w:sz w:val="20"/>
                <w:szCs w:val="20"/>
              </w:rPr>
              <w:t xml:space="preserve"> in April 2020 by the Fighting Fraud &amp; Corruption Locally (FFCL) Board</w:t>
            </w:r>
            <w:r w:rsidR="005D3873" w:rsidRPr="005D3873">
              <w:rPr>
                <w:rFonts w:cs="Times New Roman"/>
                <w:sz w:val="20"/>
                <w:szCs w:val="20"/>
              </w:rPr>
              <w:t>,</w:t>
            </w:r>
            <w:r w:rsidRPr="005D3873">
              <w:rPr>
                <w:rFonts w:cs="Times New Roman"/>
                <w:sz w:val="20"/>
                <w:szCs w:val="20"/>
              </w:rPr>
              <w:t xml:space="preserve"> but due to Covid-19 the official launch was </w:t>
            </w:r>
            <w:r w:rsidR="005D3873" w:rsidRPr="005D3873">
              <w:rPr>
                <w:rFonts w:cs="Times New Roman"/>
                <w:sz w:val="20"/>
                <w:szCs w:val="20"/>
              </w:rPr>
              <w:t xml:space="preserve">delayed </w:t>
            </w:r>
            <w:r w:rsidRPr="005D3873">
              <w:rPr>
                <w:rFonts w:cs="Times New Roman"/>
                <w:sz w:val="20"/>
                <w:szCs w:val="20"/>
              </w:rPr>
              <w:t>to October 2020</w:t>
            </w:r>
            <w:r w:rsidR="0033298F" w:rsidRPr="005D3873">
              <w:rPr>
                <w:rFonts w:cs="Times New Roman"/>
                <w:sz w:val="20"/>
                <w:szCs w:val="20"/>
              </w:rPr>
              <w:t>.</w:t>
            </w:r>
            <w:r w:rsidR="00930342" w:rsidRPr="005D3873">
              <w:rPr>
                <w:rFonts w:cs="Times New Roman"/>
                <w:sz w:val="20"/>
                <w:szCs w:val="20"/>
              </w:rPr>
              <w:t xml:space="preserve">  </w:t>
            </w:r>
            <w:r w:rsidRPr="005D3873">
              <w:rPr>
                <w:rFonts w:cs="Times New Roman"/>
                <w:sz w:val="20"/>
                <w:szCs w:val="20"/>
              </w:rPr>
              <w:t xml:space="preserve">A review of Harrow’s Corporate Anti-Fraud &amp; Corruption Strategy will be undertaken in 2020-21 so that it aligns to the new strategy. </w:t>
            </w:r>
          </w:p>
        </w:tc>
      </w:tr>
    </w:tbl>
    <w:p w14:paraId="02948111" w14:textId="5D834671" w:rsidR="008C4269" w:rsidRDefault="008C4269"/>
    <w:tbl>
      <w:tblPr>
        <w:tblW w:w="13183" w:type="dxa"/>
        <w:tblInd w:w="-34" w:type="dxa"/>
        <w:tblLayout w:type="fixed"/>
        <w:tblLook w:val="0000" w:firstRow="0" w:lastRow="0" w:firstColumn="0" w:lastColumn="0" w:noHBand="0" w:noVBand="0"/>
      </w:tblPr>
      <w:tblGrid>
        <w:gridCol w:w="576"/>
        <w:gridCol w:w="3961"/>
        <w:gridCol w:w="8646"/>
      </w:tblGrid>
      <w:tr w:rsidR="0017605D" w:rsidRPr="00380629" w14:paraId="2286FC3F" w14:textId="77777777" w:rsidTr="00930342">
        <w:trPr>
          <w:trHeight w:val="843"/>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16282126" w14:textId="77777777" w:rsidR="0017605D" w:rsidRDefault="0017605D" w:rsidP="00D67E75">
            <w:pPr>
              <w:rPr>
                <w:b/>
                <w:bCs/>
                <w:sz w:val="20"/>
                <w:szCs w:val="20"/>
                <w:lang w:val="en-US"/>
              </w:rPr>
            </w:pPr>
          </w:p>
        </w:tc>
        <w:tc>
          <w:tcPr>
            <w:tcW w:w="3961" w:type="dxa"/>
            <w:tcBorders>
              <w:top w:val="single" w:sz="4" w:space="0" w:color="auto"/>
              <w:left w:val="single" w:sz="4" w:space="0" w:color="auto"/>
              <w:bottom w:val="single" w:sz="4" w:space="0" w:color="auto"/>
              <w:right w:val="single" w:sz="4" w:space="0" w:color="auto"/>
            </w:tcBorders>
            <w:shd w:val="clear" w:color="auto" w:fill="17365D"/>
            <w:noWrap/>
            <w:vAlign w:val="bottom"/>
          </w:tcPr>
          <w:p w14:paraId="1C8C7C96" w14:textId="77777777" w:rsidR="0017605D" w:rsidRDefault="0017605D" w:rsidP="00D67E75">
            <w:pPr>
              <w:rPr>
                <w:b/>
                <w:bCs/>
                <w:sz w:val="20"/>
                <w:szCs w:val="20"/>
                <w:lang w:val="en-US"/>
              </w:rPr>
            </w:pPr>
          </w:p>
          <w:p w14:paraId="54943F70" w14:textId="77777777" w:rsidR="0017605D" w:rsidRDefault="0017605D" w:rsidP="00D67E75">
            <w:pPr>
              <w:rPr>
                <w:b/>
                <w:bCs/>
                <w:sz w:val="20"/>
                <w:szCs w:val="20"/>
                <w:lang w:val="en-US"/>
              </w:rPr>
            </w:pPr>
            <w:r>
              <w:rPr>
                <w:b/>
                <w:bCs/>
                <w:sz w:val="20"/>
                <w:szCs w:val="20"/>
                <w:lang w:val="en-US"/>
              </w:rPr>
              <w:t>Fraud work stream</w:t>
            </w:r>
          </w:p>
          <w:p w14:paraId="56528753" w14:textId="77777777" w:rsidR="0017605D" w:rsidRPr="00380629" w:rsidRDefault="0017605D" w:rsidP="00D67E75">
            <w:pPr>
              <w:rPr>
                <w:b/>
                <w:bCs/>
                <w:sz w:val="20"/>
                <w:szCs w:val="20"/>
                <w:lang w:val="en-US"/>
              </w:rPr>
            </w:pPr>
          </w:p>
        </w:tc>
        <w:tc>
          <w:tcPr>
            <w:tcW w:w="8646" w:type="dxa"/>
            <w:tcBorders>
              <w:top w:val="single" w:sz="4" w:space="0" w:color="auto"/>
              <w:left w:val="nil"/>
              <w:bottom w:val="single" w:sz="4" w:space="0" w:color="auto"/>
              <w:right w:val="single" w:sz="4" w:space="0" w:color="auto"/>
            </w:tcBorders>
            <w:shd w:val="clear" w:color="auto" w:fill="17365D"/>
            <w:vAlign w:val="center"/>
          </w:tcPr>
          <w:p w14:paraId="371E5A9D" w14:textId="77777777" w:rsidR="0017605D" w:rsidRPr="00380629" w:rsidRDefault="0035136B" w:rsidP="00D67E75">
            <w:pPr>
              <w:rPr>
                <w:b/>
                <w:bCs/>
                <w:sz w:val="20"/>
                <w:szCs w:val="20"/>
                <w:lang w:val="en-US"/>
              </w:rPr>
            </w:pPr>
            <w:r>
              <w:rPr>
                <w:b/>
                <w:bCs/>
                <w:sz w:val="20"/>
                <w:szCs w:val="20"/>
                <w:lang w:val="en-US"/>
              </w:rPr>
              <w:t xml:space="preserve">2019-20 </w:t>
            </w:r>
            <w:r w:rsidR="00110C22">
              <w:rPr>
                <w:b/>
                <w:bCs/>
                <w:sz w:val="20"/>
                <w:szCs w:val="20"/>
                <w:lang w:val="en-US"/>
              </w:rPr>
              <w:t>Year end outcome</w:t>
            </w:r>
          </w:p>
        </w:tc>
      </w:tr>
      <w:tr w:rsidR="0017605D" w:rsidRPr="0075312F" w14:paraId="6497BFE9"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2F87D41B" w14:textId="77777777" w:rsidR="0017605D" w:rsidRDefault="0017605D" w:rsidP="007816FE">
            <w:pPr>
              <w:rPr>
                <w:sz w:val="20"/>
                <w:szCs w:val="20"/>
                <w:lang w:val="en-US"/>
              </w:rPr>
            </w:pPr>
            <w:r>
              <w:rPr>
                <w:sz w:val="20"/>
                <w:szCs w:val="20"/>
                <w:lang w:val="en-US"/>
              </w:rPr>
              <w:t>5.</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08E0D3C6" w14:textId="77777777" w:rsidR="0017605D" w:rsidRPr="007C6042" w:rsidRDefault="0017605D" w:rsidP="00B008B3">
            <w:pPr>
              <w:rPr>
                <w:b/>
                <w:sz w:val="20"/>
                <w:szCs w:val="20"/>
                <w:lang w:val="en-US"/>
              </w:rPr>
            </w:pPr>
            <w:r w:rsidRPr="007C6042">
              <w:rPr>
                <w:b/>
                <w:sz w:val="20"/>
                <w:szCs w:val="20"/>
                <w:lang w:val="en-US"/>
              </w:rPr>
              <w:t>Establish a fraud loss methodology</w:t>
            </w:r>
          </w:p>
          <w:p w14:paraId="3428FCBE" w14:textId="77777777" w:rsidR="0017605D" w:rsidRPr="007C6042" w:rsidRDefault="0017605D" w:rsidP="00B008B3">
            <w:pPr>
              <w:rPr>
                <w:b/>
                <w:sz w:val="20"/>
                <w:szCs w:val="20"/>
                <w:lang w:val="en-US"/>
              </w:rPr>
            </w:pPr>
          </w:p>
          <w:p w14:paraId="2374C623" w14:textId="77777777" w:rsidR="0017605D" w:rsidRPr="007C6042" w:rsidRDefault="0017605D" w:rsidP="00B008B3">
            <w:pPr>
              <w:rPr>
                <w:sz w:val="20"/>
                <w:szCs w:val="20"/>
                <w:lang w:val="en-US"/>
              </w:rPr>
            </w:pPr>
            <w:r w:rsidRPr="007C6042">
              <w:rPr>
                <w:sz w:val="20"/>
                <w:szCs w:val="20"/>
                <w:lang w:val="en-US"/>
              </w:rPr>
              <w:t>Develop and implement a fraud loss value methodology to apply consistently to significant fraud risk exposures enabling fraud losses to be measured accurately</w:t>
            </w:r>
          </w:p>
          <w:p w14:paraId="51E200A2" w14:textId="77777777" w:rsidR="0017605D" w:rsidRPr="007C6042" w:rsidRDefault="0017605D" w:rsidP="00B008B3">
            <w:pPr>
              <w:rPr>
                <w:b/>
                <w:sz w:val="20"/>
                <w:szCs w:val="20"/>
                <w:lang w:val="en-US"/>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663F3179" w14:textId="587DA1A4" w:rsidR="0017605D" w:rsidRPr="005D3873" w:rsidRDefault="00AB098A" w:rsidP="007A1912">
            <w:pPr>
              <w:rPr>
                <w:b/>
                <w:sz w:val="20"/>
                <w:szCs w:val="20"/>
                <w:lang w:val="en-US"/>
              </w:rPr>
            </w:pPr>
            <w:r w:rsidRPr="005D3873">
              <w:rPr>
                <w:b/>
                <w:sz w:val="20"/>
                <w:szCs w:val="20"/>
                <w:lang w:val="en-US"/>
              </w:rPr>
              <w:t>Objective no</w:t>
            </w:r>
            <w:r w:rsidR="004052E3" w:rsidRPr="005D3873">
              <w:rPr>
                <w:b/>
                <w:sz w:val="20"/>
                <w:szCs w:val="20"/>
                <w:lang w:val="en-US"/>
              </w:rPr>
              <w:t>t achieved</w:t>
            </w:r>
          </w:p>
          <w:p w14:paraId="2159DB01" w14:textId="55584B04" w:rsidR="00AF05F2" w:rsidRPr="005D3873" w:rsidRDefault="005D3873" w:rsidP="007A1912">
            <w:pPr>
              <w:rPr>
                <w:b/>
                <w:sz w:val="20"/>
                <w:szCs w:val="20"/>
                <w:lang w:val="en-US"/>
              </w:rPr>
            </w:pPr>
            <w:r w:rsidRPr="00B05F71">
              <w:rPr>
                <w:rFonts w:cs="Times New Roman"/>
                <w:sz w:val="20"/>
                <w:szCs w:val="20"/>
              </w:rPr>
              <w:t xml:space="preserve">This was not achieved due to </w:t>
            </w:r>
            <w:r>
              <w:rPr>
                <w:rFonts w:cs="Times New Roman"/>
                <w:sz w:val="20"/>
                <w:szCs w:val="20"/>
              </w:rPr>
              <w:t>a lack of capacity on the team.  The team uses best practice and established methodologies for most areas of fraud investigated, but not all.  Consideration will be given to completing this task 2019-20</w:t>
            </w:r>
          </w:p>
          <w:p w14:paraId="479C547A" w14:textId="77777777" w:rsidR="0017605D" w:rsidRPr="004052E3" w:rsidRDefault="0017605D" w:rsidP="007A1912">
            <w:pPr>
              <w:rPr>
                <w:sz w:val="20"/>
                <w:szCs w:val="20"/>
                <w:lang w:val="en-US"/>
              </w:rPr>
            </w:pPr>
          </w:p>
          <w:p w14:paraId="5361A8DB" w14:textId="77777777" w:rsidR="0017605D" w:rsidRPr="007C6042" w:rsidRDefault="0017605D" w:rsidP="007A1912">
            <w:pPr>
              <w:rPr>
                <w:sz w:val="20"/>
                <w:szCs w:val="20"/>
                <w:lang w:val="en-US"/>
              </w:rPr>
            </w:pPr>
          </w:p>
        </w:tc>
      </w:tr>
      <w:tr w:rsidR="0069329D" w:rsidRPr="00A72B60" w14:paraId="426AFF2C" w14:textId="77777777" w:rsidTr="0069329D">
        <w:trPr>
          <w:trHeight w:val="251"/>
        </w:trPr>
        <w:tc>
          <w:tcPr>
            <w:tcW w:w="576" w:type="dxa"/>
            <w:tcBorders>
              <w:top w:val="single" w:sz="4" w:space="0" w:color="auto"/>
              <w:left w:val="single" w:sz="4" w:space="0" w:color="auto"/>
              <w:bottom w:val="single" w:sz="4" w:space="0" w:color="auto"/>
              <w:right w:val="single" w:sz="4" w:space="0" w:color="auto"/>
            </w:tcBorders>
          </w:tcPr>
          <w:p w14:paraId="2CAA2C21" w14:textId="77777777" w:rsidR="0069329D" w:rsidRPr="0075312F" w:rsidRDefault="0069329D" w:rsidP="004E23DA">
            <w:pPr>
              <w:rPr>
                <w:sz w:val="20"/>
                <w:szCs w:val="20"/>
                <w:lang w:val="en-US"/>
              </w:rPr>
            </w:pPr>
            <w:r>
              <w:rPr>
                <w:sz w:val="20"/>
                <w:szCs w:val="20"/>
                <w:lang w:val="en-US"/>
              </w:rPr>
              <w:t>6.</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176BC9B4" w14:textId="77777777" w:rsidR="0069329D" w:rsidRPr="00342C71" w:rsidRDefault="0069329D" w:rsidP="004E23DA">
            <w:pPr>
              <w:rPr>
                <w:b/>
                <w:sz w:val="20"/>
                <w:szCs w:val="20"/>
                <w:lang w:val="en-US"/>
              </w:rPr>
            </w:pPr>
            <w:r w:rsidRPr="00342C71">
              <w:rPr>
                <w:b/>
                <w:sz w:val="20"/>
                <w:szCs w:val="20"/>
                <w:lang w:val="en-US"/>
              </w:rPr>
              <w:t>National Fraud Initiative co-ordination role</w:t>
            </w:r>
          </w:p>
          <w:p w14:paraId="1D25BE75" w14:textId="77777777" w:rsidR="0069329D" w:rsidRPr="001A1F50" w:rsidRDefault="0069329D" w:rsidP="004E23DA">
            <w:pPr>
              <w:rPr>
                <w:b/>
                <w:color w:val="FF0000"/>
                <w:sz w:val="20"/>
                <w:szCs w:val="20"/>
                <w:lang w:val="en-US"/>
              </w:rPr>
            </w:pPr>
          </w:p>
          <w:p w14:paraId="4C084D98" w14:textId="77777777" w:rsidR="0069329D" w:rsidRPr="00342C71" w:rsidRDefault="0069329D" w:rsidP="0069329D">
            <w:pPr>
              <w:rPr>
                <w:sz w:val="20"/>
                <w:szCs w:val="20"/>
                <w:lang w:val="en-US"/>
              </w:rPr>
            </w:pPr>
            <w:r w:rsidRPr="00342C71">
              <w:rPr>
                <w:sz w:val="20"/>
                <w:szCs w:val="20"/>
                <w:lang w:val="en-US"/>
              </w:rPr>
              <w:t xml:space="preserve">Co-ordination of the 2018/19 National Fraud Initiative (NFI) data match processing including:- </w:t>
            </w:r>
          </w:p>
          <w:p w14:paraId="759597CF" w14:textId="77777777" w:rsidR="0069329D" w:rsidRPr="00342C71" w:rsidRDefault="0069329D" w:rsidP="0069329D">
            <w:pPr>
              <w:rPr>
                <w:sz w:val="20"/>
                <w:szCs w:val="20"/>
                <w:lang w:val="en-US"/>
              </w:rPr>
            </w:pPr>
          </w:p>
          <w:p w14:paraId="06EDC701" w14:textId="77777777" w:rsidR="0069329D" w:rsidRPr="00342C71" w:rsidRDefault="00342C71" w:rsidP="0069329D">
            <w:pPr>
              <w:pStyle w:val="Default"/>
              <w:numPr>
                <w:ilvl w:val="0"/>
                <w:numId w:val="23"/>
              </w:numPr>
              <w:rPr>
                <w:color w:val="auto"/>
                <w:sz w:val="20"/>
                <w:szCs w:val="20"/>
                <w:lang w:val="en-US"/>
              </w:rPr>
            </w:pPr>
            <w:r w:rsidRPr="00342C71">
              <w:rPr>
                <w:rFonts w:eastAsia="Times New Roman"/>
                <w:color w:val="auto"/>
                <w:sz w:val="20"/>
                <w:szCs w:val="20"/>
                <w:lang w:val="en-US" w:eastAsia="en-US"/>
              </w:rPr>
              <w:t>Supporting</w:t>
            </w:r>
            <w:r w:rsidR="0069329D" w:rsidRPr="00342C71">
              <w:rPr>
                <w:rFonts w:eastAsia="Times New Roman"/>
                <w:color w:val="auto"/>
                <w:sz w:val="20"/>
                <w:szCs w:val="20"/>
                <w:lang w:val="en-US" w:eastAsia="en-US"/>
              </w:rPr>
              <w:t xml:space="preserve"> service areas </w:t>
            </w:r>
            <w:r w:rsidRPr="00342C71">
              <w:rPr>
                <w:rFonts w:eastAsia="Times New Roman"/>
                <w:color w:val="auto"/>
                <w:sz w:val="20"/>
                <w:szCs w:val="20"/>
                <w:lang w:val="en-US" w:eastAsia="en-US"/>
              </w:rPr>
              <w:t xml:space="preserve">to ensure matches are processed in a timely manner and that suspected fraud is referred for investigation </w:t>
            </w:r>
          </w:p>
          <w:p w14:paraId="6AF82CEE" w14:textId="77777777" w:rsidR="00342C71" w:rsidRPr="00342C71" w:rsidRDefault="00342C71" w:rsidP="00342C71">
            <w:pPr>
              <w:pStyle w:val="Default"/>
              <w:ind w:left="360"/>
              <w:rPr>
                <w:color w:val="auto"/>
                <w:sz w:val="20"/>
                <w:szCs w:val="20"/>
                <w:lang w:val="en-US"/>
              </w:rPr>
            </w:pPr>
          </w:p>
          <w:p w14:paraId="4DE08FCF" w14:textId="77777777" w:rsidR="0069329D" w:rsidRPr="00342C71" w:rsidRDefault="00342C71" w:rsidP="00342C71">
            <w:pPr>
              <w:pStyle w:val="Default"/>
              <w:numPr>
                <w:ilvl w:val="0"/>
                <w:numId w:val="23"/>
              </w:numPr>
              <w:rPr>
                <w:color w:val="auto"/>
                <w:sz w:val="20"/>
                <w:szCs w:val="20"/>
                <w:lang w:val="en-US"/>
              </w:rPr>
            </w:pPr>
            <w:r w:rsidRPr="00342C71">
              <w:rPr>
                <w:color w:val="auto"/>
                <w:sz w:val="20"/>
                <w:szCs w:val="20"/>
                <w:lang w:val="en-US"/>
              </w:rPr>
              <w:t>Processing matches which are the responsibility of the CAFT (Housing matches)</w:t>
            </w:r>
          </w:p>
          <w:p w14:paraId="3AF9E106" w14:textId="77777777" w:rsidR="00342C71" w:rsidRPr="00342C71" w:rsidRDefault="00342C71" w:rsidP="00342C71">
            <w:pPr>
              <w:pStyle w:val="ListParagraph"/>
              <w:rPr>
                <w:sz w:val="20"/>
                <w:szCs w:val="20"/>
                <w:lang w:val="en-US"/>
              </w:rPr>
            </w:pPr>
          </w:p>
          <w:p w14:paraId="1F3A8171" w14:textId="77777777" w:rsidR="00342C71" w:rsidRPr="006125D3" w:rsidRDefault="00342C71" w:rsidP="00342C71">
            <w:pPr>
              <w:pStyle w:val="Default"/>
              <w:numPr>
                <w:ilvl w:val="0"/>
                <w:numId w:val="23"/>
              </w:numPr>
              <w:rPr>
                <w:color w:val="auto"/>
                <w:sz w:val="20"/>
                <w:szCs w:val="20"/>
                <w:lang w:val="en-US"/>
              </w:rPr>
            </w:pPr>
            <w:r w:rsidRPr="006125D3">
              <w:rPr>
                <w:color w:val="auto"/>
                <w:sz w:val="20"/>
                <w:szCs w:val="20"/>
                <w:lang w:val="en-US"/>
              </w:rPr>
              <w:t xml:space="preserve">Investigate potential fraud cases referred and recommend sanction and/or corrective action on cases as appropriate </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5302CE59" w14:textId="15C20965" w:rsidR="00930342" w:rsidRPr="005D3873" w:rsidRDefault="009D2C73" w:rsidP="004E23DA">
            <w:pPr>
              <w:rPr>
                <w:b/>
                <w:sz w:val="20"/>
                <w:szCs w:val="20"/>
                <w:lang w:val="en-US"/>
              </w:rPr>
            </w:pPr>
            <w:r w:rsidRPr="005D3873">
              <w:rPr>
                <w:b/>
                <w:sz w:val="20"/>
                <w:szCs w:val="20"/>
                <w:lang w:val="en-US"/>
              </w:rPr>
              <w:t>Objective achieved</w:t>
            </w:r>
          </w:p>
          <w:p w14:paraId="79963BA9" w14:textId="77777777" w:rsidR="00AB098A" w:rsidRPr="005D3873" w:rsidRDefault="00AB098A" w:rsidP="004E23DA">
            <w:pPr>
              <w:rPr>
                <w:b/>
                <w:sz w:val="20"/>
                <w:szCs w:val="20"/>
                <w:lang w:val="en-US"/>
              </w:rPr>
            </w:pPr>
          </w:p>
          <w:p w14:paraId="2DB310AA" w14:textId="0F8FC028" w:rsidR="0069329D" w:rsidRPr="005D3873" w:rsidRDefault="0069329D" w:rsidP="004E23DA">
            <w:pPr>
              <w:rPr>
                <w:sz w:val="20"/>
                <w:szCs w:val="20"/>
                <w:lang w:val="en-US"/>
              </w:rPr>
            </w:pPr>
            <w:r w:rsidRPr="005D3873">
              <w:rPr>
                <w:sz w:val="20"/>
                <w:szCs w:val="20"/>
                <w:lang w:val="en-US"/>
              </w:rPr>
              <w:t xml:space="preserve">Services </w:t>
            </w:r>
            <w:r w:rsidR="00CD48B8">
              <w:rPr>
                <w:sz w:val="20"/>
                <w:szCs w:val="20"/>
                <w:lang w:val="en-US"/>
              </w:rPr>
              <w:t xml:space="preserve">have </w:t>
            </w:r>
            <w:r w:rsidRPr="005D3873">
              <w:rPr>
                <w:sz w:val="20"/>
                <w:szCs w:val="20"/>
                <w:lang w:val="en-US"/>
              </w:rPr>
              <w:t>process</w:t>
            </w:r>
            <w:r w:rsidR="00CD48B8">
              <w:rPr>
                <w:sz w:val="20"/>
                <w:szCs w:val="20"/>
                <w:lang w:val="en-US"/>
              </w:rPr>
              <w:t xml:space="preserve">ed all high risk matches </w:t>
            </w:r>
            <w:r w:rsidRPr="005D3873">
              <w:rPr>
                <w:sz w:val="20"/>
                <w:szCs w:val="20"/>
                <w:lang w:val="en-US"/>
              </w:rPr>
              <w:t>after they were released</w:t>
            </w:r>
            <w:r w:rsidR="00CD48B8">
              <w:rPr>
                <w:sz w:val="20"/>
                <w:szCs w:val="20"/>
                <w:lang w:val="en-US"/>
              </w:rPr>
              <w:t xml:space="preserve"> to the authority</w:t>
            </w:r>
            <w:r w:rsidRPr="005D3873">
              <w:rPr>
                <w:sz w:val="20"/>
                <w:szCs w:val="20"/>
                <w:lang w:val="en-US"/>
              </w:rPr>
              <w:t xml:space="preserve"> in February 2019.  A brief summary of progress is detailed below:-</w:t>
            </w:r>
          </w:p>
          <w:p w14:paraId="4993058D" w14:textId="77777777" w:rsidR="0069329D" w:rsidRPr="005D3873" w:rsidRDefault="0069329D" w:rsidP="004E23DA">
            <w:pPr>
              <w:rPr>
                <w:b/>
                <w:sz w:val="20"/>
                <w:szCs w:val="20"/>
                <w:lang w:val="en-US"/>
              </w:rPr>
            </w:pPr>
          </w:p>
          <w:tbl>
            <w:tblPr>
              <w:tblW w:w="0" w:type="auto"/>
              <w:tblLayout w:type="fixed"/>
              <w:tblLook w:val="04A0" w:firstRow="1" w:lastRow="0" w:firstColumn="1" w:lastColumn="0" w:noHBand="0" w:noVBand="1"/>
            </w:tblPr>
            <w:tblGrid>
              <w:gridCol w:w="4160"/>
              <w:gridCol w:w="4161"/>
            </w:tblGrid>
            <w:tr w:rsidR="0069329D" w:rsidRPr="005D3873" w14:paraId="07D320B3" w14:textId="77777777" w:rsidTr="004E23DA">
              <w:tc>
                <w:tcPr>
                  <w:tcW w:w="4160" w:type="dxa"/>
                  <w:shd w:val="clear" w:color="auto" w:fill="auto"/>
                </w:tcPr>
                <w:p w14:paraId="2848CA1E" w14:textId="77777777" w:rsidR="0069329D" w:rsidRPr="005D3873" w:rsidRDefault="0069329D" w:rsidP="004E23DA">
                  <w:pPr>
                    <w:tabs>
                      <w:tab w:val="left" w:pos="4445"/>
                    </w:tabs>
                    <w:rPr>
                      <w:b/>
                      <w:sz w:val="20"/>
                      <w:szCs w:val="20"/>
                    </w:rPr>
                  </w:pPr>
                  <w:r w:rsidRPr="005D3873">
                    <w:rPr>
                      <w:b/>
                      <w:sz w:val="20"/>
                      <w:szCs w:val="20"/>
                    </w:rPr>
                    <w:t>Housing Benefit</w:t>
                  </w:r>
                </w:p>
                <w:p w14:paraId="0B7E96DA" w14:textId="7F7B7720" w:rsidR="0069329D" w:rsidRPr="005D3873" w:rsidRDefault="00D51622" w:rsidP="004E23DA">
                  <w:pPr>
                    <w:rPr>
                      <w:sz w:val="20"/>
                      <w:szCs w:val="20"/>
                    </w:rPr>
                  </w:pPr>
                  <w:r w:rsidRPr="005D3873">
                    <w:rPr>
                      <w:sz w:val="20"/>
                      <w:szCs w:val="20"/>
                    </w:rPr>
                    <w:t>Total matches 2</w:t>
                  </w:r>
                  <w:r w:rsidR="00433B05" w:rsidRPr="005D3873">
                    <w:rPr>
                      <w:sz w:val="20"/>
                      <w:szCs w:val="20"/>
                    </w:rPr>
                    <w:t>639</w:t>
                  </w:r>
                </w:p>
                <w:p w14:paraId="126DD448" w14:textId="77777777" w:rsidR="0069329D" w:rsidRPr="005D3873" w:rsidRDefault="00BA3FCD" w:rsidP="004E23DA">
                  <w:pPr>
                    <w:rPr>
                      <w:sz w:val="20"/>
                      <w:szCs w:val="20"/>
                    </w:rPr>
                  </w:pPr>
                  <w:r w:rsidRPr="005D3873">
                    <w:rPr>
                      <w:sz w:val="20"/>
                      <w:szCs w:val="20"/>
                    </w:rPr>
                    <w:t>Total processed 127</w:t>
                  </w:r>
                </w:p>
                <w:p w14:paraId="1A7592A5" w14:textId="77777777" w:rsidR="0069329D" w:rsidRPr="005D3873" w:rsidRDefault="00D51622" w:rsidP="004E23DA">
                  <w:pPr>
                    <w:rPr>
                      <w:sz w:val="20"/>
                      <w:szCs w:val="20"/>
                    </w:rPr>
                  </w:pPr>
                  <w:r w:rsidRPr="005D3873">
                    <w:rPr>
                      <w:sz w:val="20"/>
                      <w:szCs w:val="20"/>
                    </w:rPr>
                    <w:t>In pr</w:t>
                  </w:r>
                  <w:r w:rsidR="00BA3FCD" w:rsidRPr="005D3873">
                    <w:rPr>
                      <w:sz w:val="20"/>
                      <w:szCs w:val="20"/>
                    </w:rPr>
                    <w:t>ogress 0</w:t>
                  </w:r>
                </w:p>
                <w:p w14:paraId="2B87782B" w14:textId="5C3F2FB3" w:rsidR="0069329D" w:rsidRPr="005D3873" w:rsidRDefault="0069329D" w:rsidP="004E23DA">
                  <w:pPr>
                    <w:rPr>
                      <w:sz w:val="20"/>
                      <w:szCs w:val="20"/>
                    </w:rPr>
                  </w:pPr>
                  <w:r w:rsidRPr="005D3873">
                    <w:rPr>
                      <w:sz w:val="20"/>
                      <w:szCs w:val="20"/>
                    </w:rPr>
                    <w:t xml:space="preserve">Value </w:t>
                  </w:r>
                  <w:r w:rsidR="00D51622" w:rsidRPr="005D3873">
                    <w:rPr>
                      <w:sz w:val="20"/>
                      <w:szCs w:val="20"/>
                    </w:rPr>
                    <w:t>of fraud &amp; error identified £</w:t>
                  </w:r>
                  <w:r w:rsidR="00433B05" w:rsidRPr="005D3873">
                    <w:rPr>
                      <w:sz w:val="20"/>
                      <w:szCs w:val="20"/>
                    </w:rPr>
                    <w:t>122,216.06</w:t>
                  </w:r>
                </w:p>
                <w:p w14:paraId="0719D441" w14:textId="77777777" w:rsidR="0069329D" w:rsidRPr="005D3873" w:rsidRDefault="0069329D" w:rsidP="004E23DA">
                  <w:pPr>
                    <w:rPr>
                      <w:sz w:val="20"/>
                      <w:szCs w:val="20"/>
                    </w:rPr>
                  </w:pPr>
                </w:p>
              </w:tc>
              <w:tc>
                <w:tcPr>
                  <w:tcW w:w="4161" w:type="dxa"/>
                  <w:shd w:val="clear" w:color="auto" w:fill="auto"/>
                </w:tcPr>
                <w:p w14:paraId="04F071CC" w14:textId="77777777" w:rsidR="0069329D" w:rsidRPr="005D3873" w:rsidRDefault="0069329D" w:rsidP="004E23DA">
                  <w:pPr>
                    <w:rPr>
                      <w:b/>
                      <w:sz w:val="20"/>
                      <w:szCs w:val="20"/>
                    </w:rPr>
                  </w:pPr>
                  <w:r w:rsidRPr="005D3873">
                    <w:rPr>
                      <w:b/>
                      <w:sz w:val="20"/>
                      <w:szCs w:val="20"/>
                    </w:rPr>
                    <w:t>Creditors historical</w:t>
                  </w:r>
                </w:p>
                <w:p w14:paraId="174A4AB8" w14:textId="77777777" w:rsidR="0069329D" w:rsidRPr="005D3873" w:rsidRDefault="0069329D" w:rsidP="004E23DA">
                  <w:pPr>
                    <w:rPr>
                      <w:sz w:val="20"/>
                      <w:szCs w:val="20"/>
                    </w:rPr>
                  </w:pPr>
                  <w:r w:rsidRPr="005D3873">
                    <w:rPr>
                      <w:sz w:val="20"/>
                      <w:szCs w:val="20"/>
                    </w:rPr>
                    <w:t>Total matches 5495</w:t>
                  </w:r>
                </w:p>
                <w:p w14:paraId="182143BF" w14:textId="77777777" w:rsidR="0069329D" w:rsidRPr="005D3873" w:rsidRDefault="00CB7BFA" w:rsidP="004E23DA">
                  <w:pPr>
                    <w:rPr>
                      <w:sz w:val="20"/>
                      <w:szCs w:val="20"/>
                    </w:rPr>
                  </w:pPr>
                  <w:r w:rsidRPr="005D3873">
                    <w:rPr>
                      <w:sz w:val="20"/>
                      <w:szCs w:val="20"/>
                    </w:rPr>
                    <w:t>Total processed 93</w:t>
                  </w:r>
                </w:p>
                <w:p w14:paraId="4F30B421" w14:textId="77777777" w:rsidR="00CB7BFA" w:rsidRPr="005D3873" w:rsidRDefault="00CB7BFA" w:rsidP="004E23DA">
                  <w:pPr>
                    <w:rPr>
                      <w:sz w:val="20"/>
                      <w:szCs w:val="20"/>
                    </w:rPr>
                  </w:pPr>
                  <w:r w:rsidRPr="005D3873">
                    <w:rPr>
                      <w:sz w:val="20"/>
                      <w:szCs w:val="20"/>
                    </w:rPr>
                    <w:t>In progress 0</w:t>
                  </w:r>
                </w:p>
                <w:p w14:paraId="1A7B233E" w14:textId="77777777" w:rsidR="0069329D" w:rsidRPr="005D3873" w:rsidRDefault="0069329D" w:rsidP="004E23DA">
                  <w:pPr>
                    <w:rPr>
                      <w:sz w:val="20"/>
                      <w:szCs w:val="20"/>
                    </w:rPr>
                  </w:pPr>
                  <w:r w:rsidRPr="005D3873">
                    <w:rPr>
                      <w:sz w:val="20"/>
                      <w:szCs w:val="20"/>
                    </w:rPr>
                    <w:t xml:space="preserve">Value </w:t>
                  </w:r>
                  <w:r w:rsidR="00CB7BFA" w:rsidRPr="005D3873">
                    <w:rPr>
                      <w:sz w:val="20"/>
                      <w:szCs w:val="20"/>
                    </w:rPr>
                    <w:t>of fraud &amp; error identified £0</w:t>
                  </w:r>
                </w:p>
                <w:p w14:paraId="0103BF6B" w14:textId="77777777" w:rsidR="0069329D" w:rsidRPr="005D3873" w:rsidRDefault="0069329D" w:rsidP="004E23DA">
                  <w:pPr>
                    <w:rPr>
                      <w:sz w:val="20"/>
                      <w:szCs w:val="20"/>
                    </w:rPr>
                  </w:pPr>
                </w:p>
              </w:tc>
            </w:tr>
            <w:tr w:rsidR="0069329D" w:rsidRPr="005D3873" w14:paraId="2BDB361E" w14:textId="77777777" w:rsidTr="004E23DA">
              <w:tc>
                <w:tcPr>
                  <w:tcW w:w="4160" w:type="dxa"/>
                  <w:shd w:val="clear" w:color="auto" w:fill="auto"/>
                </w:tcPr>
                <w:p w14:paraId="499A28AD" w14:textId="77777777" w:rsidR="0069329D" w:rsidRPr="005D3873" w:rsidRDefault="0069329D" w:rsidP="004E23DA">
                  <w:pPr>
                    <w:rPr>
                      <w:b/>
                      <w:sz w:val="20"/>
                      <w:szCs w:val="20"/>
                    </w:rPr>
                  </w:pPr>
                  <w:r w:rsidRPr="005D3873">
                    <w:rPr>
                      <w:b/>
                      <w:sz w:val="20"/>
                      <w:szCs w:val="20"/>
                    </w:rPr>
                    <w:t>Creditors standing</w:t>
                  </w:r>
                </w:p>
                <w:p w14:paraId="3A175C49" w14:textId="77777777" w:rsidR="0069329D" w:rsidRPr="005D3873" w:rsidRDefault="0069329D" w:rsidP="004E23DA">
                  <w:pPr>
                    <w:rPr>
                      <w:sz w:val="20"/>
                      <w:szCs w:val="20"/>
                    </w:rPr>
                  </w:pPr>
                  <w:r w:rsidRPr="005D3873">
                    <w:rPr>
                      <w:sz w:val="20"/>
                      <w:szCs w:val="20"/>
                    </w:rPr>
                    <w:t>Total matches 435</w:t>
                  </w:r>
                </w:p>
                <w:p w14:paraId="2D3C402D" w14:textId="77777777" w:rsidR="0069329D" w:rsidRPr="005D3873" w:rsidRDefault="00CB7BFA" w:rsidP="004E23DA">
                  <w:pPr>
                    <w:rPr>
                      <w:sz w:val="20"/>
                      <w:szCs w:val="20"/>
                    </w:rPr>
                  </w:pPr>
                  <w:r w:rsidRPr="005D3873">
                    <w:rPr>
                      <w:sz w:val="20"/>
                      <w:szCs w:val="20"/>
                    </w:rPr>
                    <w:t>Total progressed 28</w:t>
                  </w:r>
                </w:p>
                <w:p w14:paraId="7B76C826" w14:textId="77777777" w:rsidR="0069329D" w:rsidRPr="005D3873" w:rsidRDefault="00D51622" w:rsidP="004E23DA">
                  <w:pPr>
                    <w:rPr>
                      <w:sz w:val="20"/>
                      <w:szCs w:val="20"/>
                    </w:rPr>
                  </w:pPr>
                  <w:r w:rsidRPr="005D3873">
                    <w:rPr>
                      <w:sz w:val="20"/>
                      <w:szCs w:val="20"/>
                    </w:rPr>
                    <w:t xml:space="preserve">In progress </w:t>
                  </w:r>
                  <w:r w:rsidR="00CB7BFA" w:rsidRPr="005D3873">
                    <w:rPr>
                      <w:sz w:val="20"/>
                      <w:szCs w:val="20"/>
                    </w:rPr>
                    <w:t>0</w:t>
                  </w:r>
                </w:p>
                <w:p w14:paraId="16E956CA" w14:textId="77777777" w:rsidR="0069329D" w:rsidRPr="005D3873" w:rsidRDefault="0069329D" w:rsidP="004E23DA">
                  <w:pPr>
                    <w:rPr>
                      <w:sz w:val="20"/>
                      <w:szCs w:val="20"/>
                    </w:rPr>
                  </w:pPr>
                  <w:r w:rsidRPr="005D3873">
                    <w:rPr>
                      <w:sz w:val="20"/>
                      <w:szCs w:val="20"/>
                    </w:rPr>
                    <w:t xml:space="preserve">Value </w:t>
                  </w:r>
                  <w:r w:rsidR="00CB7BFA" w:rsidRPr="005D3873">
                    <w:rPr>
                      <w:sz w:val="20"/>
                      <w:szCs w:val="20"/>
                    </w:rPr>
                    <w:t>of fraud &amp; error identified £0</w:t>
                  </w:r>
                </w:p>
                <w:p w14:paraId="10B335F6" w14:textId="77777777" w:rsidR="0069329D" w:rsidRPr="005D3873" w:rsidRDefault="0069329D" w:rsidP="004E23DA">
                  <w:pPr>
                    <w:rPr>
                      <w:sz w:val="20"/>
                      <w:szCs w:val="20"/>
                    </w:rPr>
                  </w:pPr>
                </w:p>
              </w:tc>
              <w:tc>
                <w:tcPr>
                  <w:tcW w:w="4161" w:type="dxa"/>
                  <w:shd w:val="clear" w:color="auto" w:fill="auto"/>
                </w:tcPr>
                <w:p w14:paraId="4629E925" w14:textId="77777777" w:rsidR="0069329D" w:rsidRPr="005D3873" w:rsidRDefault="0069329D" w:rsidP="004E23DA">
                  <w:pPr>
                    <w:rPr>
                      <w:b/>
                      <w:sz w:val="20"/>
                      <w:szCs w:val="20"/>
                    </w:rPr>
                  </w:pPr>
                  <w:r w:rsidRPr="005D3873">
                    <w:rPr>
                      <w:b/>
                      <w:sz w:val="20"/>
                      <w:szCs w:val="20"/>
                    </w:rPr>
                    <w:t>Council Tax Reduction Scheme (CTRS)</w:t>
                  </w:r>
                  <w:r w:rsidR="00D12F5E" w:rsidRPr="005D3873">
                    <w:rPr>
                      <w:b/>
                      <w:sz w:val="20"/>
                      <w:szCs w:val="20"/>
                    </w:rPr>
                    <w:t xml:space="preserve"> </w:t>
                  </w:r>
                </w:p>
                <w:p w14:paraId="50E214EB" w14:textId="77777777" w:rsidR="0069329D" w:rsidRPr="005D3873" w:rsidRDefault="00862FAB" w:rsidP="004E23DA">
                  <w:pPr>
                    <w:rPr>
                      <w:sz w:val="20"/>
                      <w:szCs w:val="20"/>
                    </w:rPr>
                  </w:pPr>
                  <w:r w:rsidRPr="005D3873">
                    <w:rPr>
                      <w:sz w:val="20"/>
                      <w:szCs w:val="20"/>
                    </w:rPr>
                    <w:t>Total matches 1889</w:t>
                  </w:r>
                </w:p>
                <w:p w14:paraId="0C496B78" w14:textId="4C0587EC" w:rsidR="0069329D" w:rsidRPr="005D3873" w:rsidRDefault="00BA3FCD" w:rsidP="004E23DA">
                  <w:pPr>
                    <w:rPr>
                      <w:sz w:val="20"/>
                      <w:szCs w:val="20"/>
                    </w:rPr>
                  </w:pPr>
                  <w:r w:rsidRPr="005D3873">
                    <w:rPr>
                      <w:sz w:val="20"/>
                      <w:szCs w:val="20"/>
                    </w:rPr>
                    <w:t>Total processed 4</w:t>
                  </w:r>
                  <w:r w:rsidR="005E4293" w:rsidRPr="005D3873">
                    <w:rPr>
                      <w:sz w:val="20"/>
                      <w:szCs w:val="20"/>
                    </w:rPr>
                    <w:t>6</w:t>
                  </w:r>
                </w:p>
                <w:p w14:paraId="77AC83E0" w14:textId="258FE25E" w:rsidR="0069329D" w:rsidRPr="005D3873" w:rsidRDefault="00BA3FCD" w:rsidP="004E23DA">
                  <w:pPr>
                    <w:rPr>
                      <w:sz w:val="20"/>
                      <w:szCs w:val="20"/>
                    </w:rPr>
                  </w:pPr>
                  <w:r w:rsidRPr="005D3873">
                    <w:rPr>
                      <w:sz w:val="20"/>
                      <w:szCs w:val="20"/>
                    </w:rPr>
                    <w:t xml:space="preserve">In progress </w:t>
                  </w:r>
                  <w:r w:rsidR="005E4293" w:rsidRPr="005D3873">
                    <w:rPr>
                      <w:sz w:val="20"/>
                      <w:szCs w:val="20"/>
                    </w:rPr>
                    <w:t>0</w:t>
                  </w:r>
                </w:p>
                <w:p w14:paraId="304C2BCD" w14:textId="3145004B" w:rsidR="0069329D" w:rsidRPr="005D3873" w:rsidRDefault="0069329D" w:rsidP="004E23DA">
                  <w:pPr>
                    <w:rPr>
                      <w:sz w:val="20"/>
                      <w:szCs w:val="20"/>
                    </w:rPr>
                  </w:pPr>
                  <w:r w:rsidRPr="005D3873">
                    <w:rPr>
                      <w:sz w:val="20"/>
                      <w:szCs w:val="20"/>
                    </w:rPr>
                    <w:t>Value of fraud &amp; error identified £</w:t>
                  </w:r>
                  <w:r w:rsidR="005E4293" w:rsidRPr="005D3873">
                    <w:rPr>
                      <w:sz w:val="20"/>
                      <w:szCs w:val="20"/>
                    </w:rPr>
                    <w:t>13,197.81</w:t>
                  </w:r>
                </w:p>
                <w:p w14:paraId="75392206" w14:textId="77777777" w:rsidR="0069329D" w:rsidRPr="005D3873" w:rsidRDefault="0069329D" w:rsidP="004E23DA">
                  <w:pPr>
                    <w:rPr>
                      <w:sz w:val="20"/>
                      <w:szCs w:val="20"/>
                    </w:rPr>
                  </w:pPr>
                </w:p>
              </w:tc>
            </w:tr>
            <w:tr w:rsidR="0069329D" w:rsidRPr="005D3873" w14:paraId="0F1FC607" w14:textId="77777777" w:rsidTr="004E23DA">
              <w:tc>
                <w:tcPr>
                  <w:tcW w:w="4160" w:type="dxa"/>
                  <w:shd w:val="clear" w:color="auto" w:fill="auto"/>
                </w:tcPr>
                <w:p w14:paraId="13B7F325" w14:textId="77777777" w:rsidR="0069329D" w:rsidRPr="005D3873" w:rsidRDefault="0069329D" w:rsidP="004E23DA">
                  <w:pPr>
                    <w:rPr>
                      <w:b/>
                      <w:sz w:val="20"/>
                      <w:szCs w:val="20"/>
                    </w:rPr>
                  </w:pPr>
                  <w:r w:rsidRPr="005D3873">
                    <w:rPr>
                      <w:b/>
                      <w:sz w:val="20"/>
                      <w:szCs w:val="20"/>
                    </w:rPr>
                    <w:t>Housing Tenants</w:t>
                  </w:r>
                  <w:r w:rsidR="00862FAB" w:rsidRPr="005D3873">
                    <w:rPr>
                      <w:b/>
                      <w:sz w:val="20"/>
                      <w:szCs w:val="20"/>
                    </w:rPr>
                    <w:t xml:space="preserve"> (CAFT matches)</w:t>
                  </w:r>
                </w:p>
                <w:p w14:paraId="12F7888B" w14:textId="77777777" w:rsidR="0069329D" w:rsidRPr="005D3873" w:rsidRDefault="00D12F5E" w:rsidP="004E23DA">
                  <w:pPr>
                    <w:rPr>
                      <w:sz w:val="20"/>
                      <w:szCs w:val="20"/>
                    </w:rPr>
                  </w:pPr>
                  <w:r w:rsidRPr="005D3873">
                    <w:rPr>
                      <w:sz w:val="20"/>
                      <w:szCs w:val="20"/>
                    </w:rPr>
                    <w:t>Total matches 169</w:t>
                  </w:r>
                </w:p>
                <w:p w14:paraId="3D3DF584" w14:textId="77777777" w:rsidR="0069329D" w:rsidRPr="005D3873" w:rsidRDefault="00D12F5E" w:rsidP="004E23DA">
                  <w:pPr>
                    <w:rPr>
                      <w:sz w:val="20"/>
                      <w:szCs w:val="20"/>
                    </w:rPr>
                  </w:pPr>
                  <w:r w:rsidRPr="005D3873">
                    <w:rPr>
                      <w:sz w:val="20"/>
                      <w:szCs w:val="20"/>
                    </w:rPr>
                    <w:t>Total progressed 168</w:t>
                  </w:r>
                </w:p>
                <w:p w14:paraId="0D00AB90" w14:textId="77777777" w:rsidR="0069329D" w:rsidRPr="005D3873" w:rsidRDefault="00A710FB" w:rsidP="004E23DA">
                  <w:pPr>
                    <w:rPr>
                      <w:sz w:val="20"/>
                      <w:szCs w:val="20"/>
                    </w:rPr>
                  </w:pPr>
                  <w:r w:rsidRPr="005D3873">
                    <w:rPr>
                      <w:sz w:val="20"/>
                      <w:szCs w:val="20"/>
                    </w:rPr>
                    <w:t>In progress 0</w:t>
                  </w:r>
                </w:p>
                <w:p w14:paraId="6DC26849" w14:textId="77777777" w:rsidR="0069329D" w:rsidRPr="005D3873" w:rsidRDefault="0069329D" w:rsidP="004E23DA">
                  <w:pPr>
                    <w:rPr>
                      <w:sz w:val="20"/>
                      <w:szCs w:val="20"/>
                    </w:rPr>
                  </w:pPr>
                  <w:r w:rsidRPr="005D3873">
                    <w:rPr>
                      <w:sz w:val="20"/>
                      <w:szCs w:val="20"/>
                    </w:rPr>
                    <w:t xml:space="preserve">Value </w:t>
                  </w:r>
                  <w:r w:rsidR="00423A17" w:rsidRPr="005D3873">
                    <w:rPr>
                      <w:sz w:val="20"/>
                      <w:szCs w:val="20"/>
                    </w:rPr>
                    <w:t>of fraud &amp; error identified £0</w:t>
                  </w:r>
                </w:p>
                <w:p w14:paraId="5627A278" w14:textId="77777777" w:rsidR="0069329D" w:rsidRPr="005D3873" w:rsidRDefault="0069329D" w:rsidP="004E23DA">
                  <w:pPr>
                    <w:rPr>
                      <w:sz w:val="20"/>
                      <w:szCs w:val="20"/>
                    </w:rPr>
                  </w:pPr>
                </w:p>
              </w:tc>
              <w:tc>
                <w:tcPr>
                  <w:tcW w:w="4161" w:type="dxa"/>
                  <w:shd w:val="clear" w:color="auto" w:fill="auto"/>
                </w:tcPr>
                <w:p w14:paraId="4990A970" w14:textId="77777777" w:rsidR="0069329D" w:rsidRPr="005D3873" w:rsidRDefault="0069329D" w:rsidP="004E23DA">
                  <w:pPr>
                    <w:rPr>
                      <w:b/>
                      <w:sz w:val="20"/>
                      <w:szCs w:val="20"/>
                    </w:rPr>
                  </w:pPr>
                  <w:r w:rsidRPr="005D3873">
                    <w:rPr>
                      <w:b/>
                      <w:sz w:val="20"/>
                      <w:szCs w:val="20"/>
                    </w:rPr>
                    <w:t>Personal budgets</w:t>
                  </w:r>
                </w:p>
                <w:p w14:paraId="4DC11157" w14:textId="77777777" w:rsidR="0069329D" w:rsidRPr="005D3873" w:rsidRDefault="0069329D" w:rsidP="004E23DA">
                  <w:pPr>
                    <w:rPr>
                      <w:sz w:val="20"/>
                      <w:szCs w:val="20"/>
                    </w:rPr>
                  </w:pPr>
                  <w:r w:rsidRPr="005D3873">
                    <w:rPr>
                      <w:sz w:val="20"/>
                      <w:szCs w:val="20"/>
                    </w:rPr>
                    <w:t>Tota</w:t>
                  </w:r>
                  <w:r w:rsidR="00423A17" w:rsidRPr="005D3873">
                    <w:rPr>
                      <w:sz w:val="20"/>
                      <w:szCs w:val="20"/>
                    </w:rPr>
                    <w:t>l matches 87</w:t>
                  </w:r>
                </w:p>
                <w:p w14:paraId="02C326C7" w14:textId="77777777" w:rsidR="0069329D" w:rsidRPr="005D3873" w:rsidRDefault="00423A17" w:rsidP="004E23DA">
                  <w:pPr>
                    <w:rPr>
                      <w:sz w:val="20"/>
                      <w:szCs w:val="20"/>
                    </w:rPr>
                  </w:pPr>
                  <w:r w:rsidRPr="005D3873">
                    <w:rPr>
                      <w:sz w:val="20"/>
                      <w:szCs w:val="20"/>
                    </w:rPr>
                    <w:t>Total progressed 73</w:t>
                  </w:r>
                </w:p>
                <w:p w14:paraId="13B3508D" w14:textId="77777777" w:rsidR="0069329D" w:rsidRPr="005D3873" w:rsidRDefault="00423A17" w:rsidP="004E23DA">
                  <w:pPr>
                    <w:rPr>
                      <w:sz w:val="20"/>
                      <w:szCs w:val="20"/>
                    </w:rPr>
                  </w:pPr>
                  <w:r w:rsidRPr="005D3873">
                    <w:rPr>
                      <w:sz w:val="20"/>
                      <w:szCs w:val="20"/>
                    </w:rPr>
                    <w:t>In progress 13</w:t>
                  </w:r>
                </w:p>
                <w:p w14:paraId="6125E3CD" w14:textId="77777777" w:rsidR="0069329D" w:rsidRPr="005D3873" w:rsidRDefault="0069329D" w:rsidP="004E23DA">
                  <w:pPr>
                    <w:rPr>
                      <w:sz w:val="20"/>
                      <w:szCs w:val="20"/>
                    </w:rPr>
                  </w:pPr>
                  <w:r w:rsidRPr="005D3873">
                    <w:rPr>
                      <w:sz w:val="20"/>
                      <w:szCs w:val="20"/>
                    </w:rPr>
                    <w:t xml:space="preserve">Value </w:t>
                  </w:r>
                  <w:r w:rsidR="00423A17" w:rsidRPr="005D3873">
                    <w:rPr>
                      <w:sz w:val="20"/>
                      <w:szCs w:val="20"/>
                    </w:rPr>
                    <w:t>of fraud &amp; error identified £0</w:t>
                  </w:r>
                </w:p>
                <w:p w14:paraId="05A11142" w14:textId="77777777" w:rsidR="0069329D" w:rsidRPr="005D3873" w:rsidRDefault="0069329D" w:rsidP="004E23DA">
                  <w:pPr>
                    <w:rPr>
                      <w:sz w:val="20"/>
                      <w:szCs w:val="20"/>
                    </w:rPr>
                  </w:pPr>
                </w:p>
              </w:tc>
            </w:tr>
            <w:tr w:rsidR="0069329D" w:rsidRPr="005D3873" w14:paraId="3F41F57D" w14:textId="77777777" w:rsidTr="004E23DA">
              <w:tc>
                <w:tcPr>
                  <w:tcW w:w="4160" w:type="dxa"/>
                  <w:shd w:val="clear" w:color="auto" w:fill="auto"/>
                </w:tcPr>
                <w:p w14:paraId="50FCC519" w14:textId="77777777" w:rsidR="0069329D" w:rsidRPr="005D3873" w:rsidRDefault="0069329D" w:rsidP="004E23DA">
                  <w:pPr>
                    <w:rPr>
                      <w:b/>
                      <w:sz w:val="20"/>
                      <w:szCs w:val="20"/>
                    </w:rPr>
                  </w:pPr>
                </w:p>
                <w:p w14:paraId="0C221FA9" w14:textId="77777777" w:rsidR="0069329D" w:rsidRPr="005D3873" w:rsidRDefault="0069329D" w:rsidP="004E23DA">
                  <w:pPr>
                    <w:rPr>
                      <w:b/>
                      <w:sz w:val="20"/>
                      <w:szCs w:val="20"/>
                    </w:rPr>
                  </w:pPr>
                  <w:r w:rsidRPr="005D3873">
                    <w:rPr>
                      <w:b/>
                      <w:sz w:val="20"/>
                      <w:szCs w:val="20"/>
                    </w:rPr>
                    <w:t>Procurement</w:t>
                  </w:r>
                </w:p>
                <w:p w14:paraId="14254620" w14:textId="77777777" w:rsidR="0069329D" w:rsidRPr="005D3873" w:rsidRDefault="0069329D" w:rsidP="004E23DA">
                  <w:pPr>
                    <w:rPr>
                      <w:sz w:val="20"/>
                      <w:szCs w:val="20"/>
                    </w:rPr>
                  </w:pPr>
                  <w:r w:rsidRPr="005D3873">
                    <w:rPr>
                      <w:sz w:val="20"/>
                      <w:szCs w:val="20"/>
                    </w:rPr>
                    <w:t>Total matches 124</w:t>
                  </w:r>
                </w:p>
                <w:p w14:paraId="75000826" w14:textId="77777777" w:rsidR="0069329D" w:rsidRPr="005D3873" w:rsidRDefault="0069329D" w:rsidP="004E23DA">
                  <w:pPr>
                    <w:rPr>
                      <w:sz w:val="20"/>
                      <w:szCs w:val="20"/>
                    </w:rPr>
                  </w:pPr>
                  <w:r w:rsidRPr="005D3873">
                    <w:rPr>
                      <w:sz w:val="20"/>
                      <w:szCs w:val="20"/>
                    </w:rPr>
                    <w:t>Total processed 50</w:t>
                  </w:r>
                </w:p>
                <w:p w14:paraId="1D45816F" w14:textId="77777777" w:rsidR="0069329D" w:rsidRPr="005D3873" w:rsidRDefault="0069329D" w:rsidP="004E23DA">
                  <w:pPr>
                    <w:rPr>
                      <w:sz w:val="20"/>
                      <w:szCs w:val="20"/>
                    </w:rPr>
                  </w:pPr>
                  <w:r w:rsidRPr="005D3873">
                    <w:rPr>
                      <w:sz w:val="20"/>
                      <w:szCs w:val="20"/>
                    </w:rPr>
                    <w:t>In progress 0</w:t>
                  </w:r>
                </w:p>
                <w:p w14:paraId="0E833AE5" w14:textId="77777777" w:rsidR="0069329D" w:rsidRPr="005D3873" w:rsidRDefault="0069329D" w:rsidP="004E23DA">
                  <w:pPr>
                    <w:rPr>
                      <w:sz w:val="20"/>
                      <w:szCs w:val="20"/>
                    </w:rPr>
                  </w:pPr>
                  <w:r w:rsidRPr="005D3873">
                    <w:rPr>
                      <w:sz w:val="20"/>
                      <w:szCs w:val="20"/>
                    </w:rPr>
                    <w:t xml:space="preserve">Value </w:t>
                  </w:r>
                  <w:r w:rsidR="00423A17" w:rsidRPr="005D3873">
                    <w:rPr>
                      <w:sz w:val="20"/>
                      <w:szCs w:val="20"/>
                    </w:rPr>
                    <w:t>of fraud &amp; error identified £0</w:t>
                  </w:r>
                </w:p>
                <w:p w14:paraId="5B77262D" w14:textId="77777777" w:rsidR="0069329D" w:rsidRPr="005D3873" w:rsidRDefault="0069329D" w:rsidP="004E23DA">
                  <w:pPr>
                    <w:rPr>
                      <w:sz w:val="20"/>
                      <w:szCs w:val="20"/>
                    </w:rPr>
                  </w:pPr>
                </w:p>
              </w:tc>
              <w:tc>
                <w:tcPr>
                  <w:tcW w:w="4161" w:type="dxa"/>
                  <w:shd w:val="clear" w:color="auto" w:fill="auto"/>
                </w:tcPr>
                <w:p w14:paraId="05007507" w14:textId="77777777" w:rsidR="0069329D" w:rsidRPr="005D3873" w:rsidRDefault="0069329D" w:rsidP="004E23DA">
                  <w:pPr>
                    <w:rPr>
                      <w:b/>
                      <w:sz w:val="20"/>
                      <w:szCs w:val="20"/>
                    </w:rPr>
                  </w:pPr>
                </w:p>
                <w:p w14:paraId="7D963780" w14:textId="77777777" w:rsidR="0069329D" w:rsidRPr="005D3873" w:rsidRDefault="0069329D" w:rsidP="004E23DA">
                  <w:pPr>
                    <w:rPr>
                      <w:b/>
                      <w:sz w:val="20"/>
                      <w:szCs w:val="20"/>
                    </w:rPr>
                  </w:pPr>
                  <w:r w:rsidRPr="005D3873">
                    <w:rPr>
                      <w:b/>
                      <w:sz w:val="20"/>
                      <w:szCs w:val="20"/>
                    </w:rPr>
                    <w:t>Pensions</w:t>
                  </w:r>
                </w:p>
                <w:p w14:paraId="06DC1EEB" w14:textId="77777777" w:rsidR="0069329D" w:rsidRPr="005D3873" w:rsidRDefault="0069329D" w:rsidP="004E23DA">
                  <w:pPr>
                    <w:rPr>
                      <w:sz w:val="20"/>
                      <w:szCs w:val="20"/>
                    </w:rPr>
                  </w:pPr>
                  <w:r w:rsidRPr="005D3873">
                    <w:rPr>
                      <w:sz w:val="20"/>
                      <w:szCs w:val="20"/>
                    </w:rPr>
                    <w:t>Total matches 219</w:t>
                  </w:r>
                </w:p>
                <w:p w14:paraId="459AC2C3" w14:textId="77777777" w:rsidR="0069329D" w:rsidRPr="005D3873" w:rsidRDefault="00423A17" w:rsidP="004E23DA">
                  <w:pPr>
                    <w:rPr>
                      <w:sz w:val="20"/>
                      <w:szCs w:val="20"/>
                    </w:rPr>
                  </w:pPr>
                  <w:r w:rsidRPr="005D3873">
                    <w:rPr>
                      <w:sz w:val="20"/>
                      <w:szCs w:val="20"/>
                    </w:rPr>
                    <w:t>Total processed 219</w:t>
                  </w:r>
                </w:p>
                <w:p w14:paraId="5D2E7ED1" w14:textId="77777777" w:rsidR="0069329D" w:rsidRPr="005D3873" w:rsidRDefault="00423A17" w:rsidP="004E23DA">
                  <w:pPr>
                    <w:rPr>
                      <w:sz w:val="20"/>
                      <w:szCs w:val="20"/>
                    </w:rPr>
                  </w:pPr>
                  <w:r w:rsidRPr="005D3873">
                    <w:rPr>
                      <w:sz w:val="20"/>
                      <w:szCs w:val="20"/>
                    </w:rPr>
                    <w:t>In progress 0</w:t>
                  </w:r>
                </w:p>
                <w:p w14:paraId="5BC3F8CF" w14:textId="77777777" w:rsidR="0069329D" w:rsidRPr="005D3873" w:rsidRDefault="0069329D" w:rsidP="004E23DA">
                  <w:pPr>
                    <w:rPr>
                      <w:sz w:val="20"/>
                      <w:szCs w:val="20"/>
                    </w:rPr>
                  </w:pPr>
                  <w:r w:rsidRPr="005D3873">
                    <w:rPr>
                      <w:sz w:val="20"/>
                      <w:szCs w:val="20"/>
                    </w:rPr>
                    <w:t>Value of fraud &amp; error identified £6,522.36</w:t>
                  </w:r>
                </w:p>
                <w:p w14:paraId="082CF1B9" w14:textId="77777777" w:rsidR="0069329D" w:rsidRPr="005D3873" w:rsidRDefault="0069329D" w:rsidP="004E23DA">
                  <w:pPr>
                    <w:rPr>
                      <w:sz w:val="20"/>
                      <w:szCs w:val="20"/>
                    </w:rPr>
                  </w:pPr>
                </w:p>
              </w:tc>
            </w:tr>
            <w:tr w:rsidR="0069329D" w:rsidRPr="005D3873" w14:paraId="3F550C8D" w14:textId="77777777" w:rsidTr="004E23DA">
              <w:tc>
                <w:tcPr>
                  <w:tcW w:w="4160" w:type="dxa"/>
                  <w:shd w:val="clear" w:color="auto" w:fill="auto"/>
                </w:tcPr>
                <w:p w14:paraId="6073877D" w14:textId="29869B64" w:rsidR="00BA3FCD" w:rsidRDefault="00BA3FCD" w:rsidP="004E23DA">
                  <w:pPr>
                    <w:rPr>
                      <w:b/>
                      <w:sz w:val="20"/>
                      <w:szCs w:val="20"/>
                    </w:rPr>
                  </w:pPr>
                </w:p>
                <w:p w14:paraId="2C041968" w14:textId="77777777" w:rsidR="00CD48B8" w:rsidRPr="005D3873" w:rsidRDefault="00CD48B8" w:rsidP="004E23DA">
                  <w:pPr>
                    <w:rPr>
                      <w:b/>
                      <w:sz w:val="20"/>
                      <w:szCs w:val="20"/>
                    </w:rPr>
                  </w:pPr>
                </w:p>
                <w:p w14:paraId="4B21A066" w14:textId="77777777" w:rsidR="0069329D" w:rsidRPr="005D3873" w:rsidRDefault="0069329D" w:rsidP="004E23DA">
                  <w:pPr>
                    <w:rPr>
                      <w:b/>
                      <w:sz w:val="20"/>
                      <w:szCs w:val="20"/>
                    </w:rPr>
                  </w:pPr>
                  <w:r w:rsidRPr="005D3873">
                    <w:rPr>
                      <w:b/>
                      <w:sz w:val="20"/>
                      <w:szCs w:val="20"/>
                    </w:rPr>
                    <w:lastRenderedPageBreak/>
                    <w:t>Payroll</w:t>
                  </w:r>
                </w:p>
                <w:p w14:paraId="641348A9" w14:textId="77777777" w:rsidR="0069329D" w:rsidRPr="005D3873" w:rsidRDefault="0069329D" w:rsidP="004E23DA">
                  <w:pPr>
                    <w:rPr>
                      <w:sz w:val="20"/>
                      <w:szCs w:val="20"/>
                    </w:rPr>
                  </w:pPr>
                  <w:r w:rsidRPr="005D3873">
                    <w:rPr>
                      <w:sz w:val="20"/>
                      <w:szCs w:val="20"/>
                    </w:rPr>
                    <w:t>Total matches 199</w:t>
                  </w:r>
                </w:p>
                <w:p w14:paraId="52D772E8" w14:textId="43CA5FD3" w:rsidR="0069329D" w:rsidRPr="005D3873" w:rsidRDefault="009B3FFA" w:rsidP="004E23DA">
                  <w:pPr>
                    <w:rPr>
                      <w:sz w:val="20"/>
                      <w:szCs w:val="20"/>
                    </w:rPr>
                  </w:pPr>
                  <w:r w:rsidRPr="005D3873">
                    <w:rPr>
                      <w:sz w:val="20"/>
                      <w:szCs w:val="20"/>
                    </w:rPr>
                    <w:t>Total processed 18</w:t>
                  </w:r>
                  <w:r w:rsidR="005E4293" w:rsidRPr="005D3873">
                    <w:rPr>
                      <w:sz w:val="20"/>
                      <w:szCs w:val="20"/>
                    </w:rPr>
                    <w:t>3</w:t>
                  </w:r>
                </w:p>
                <w:p w14:paraId="2E5FFD42" w14:textId="77777777" w:rsidR="0069329D" w:rsidRPr="005D3873" w:rsidRDefault="0069329D" w:rsidP="004E23DA">
                  <w:pPr>
                    <w:rPr>
                      <w:sz w:val="20"/>
                      <w:szCs w:val="20"/>
                    </w:rPr>
                  </w:pPr>
                  <w:r w:rsidRPr="005D3873">
                    <w:rPr>
                      <w:sz w:val="20"/>
                      <w:szCs w:val="20"/>
                    </w:rPr>
                    <w:t>In progress 0</w:t>
                  </w:r>
                </w:p>
                <w:p w14:paraId="338391B0" w14:textId="77777777" w:rsidR="0069329D" w:rsidRPr="005D3873" w:rsidRDefault="0069329D" w:rsidP="004E23DA">
                  <w:pPr>
                    <w:rPr>
                      <w:sz w:val="20"/>
                      <w:szCs w:val="20"/>
                    </w:rPr>
                  </w:pPr>
                  <w:r w:rsidRPr="005D3873">
                    <w:rPr>
                      <w:sz w:val="20"/>
                      <w:szCs w:val="20"/>
                    </w:rPr>
                    <w:t xml:space="preserve">Value </w:t>
                  </w:r>
                  <w:r w:rsidR="009B3FFA" w:rsidRPr="005D3873">
                    <w:rPr>
                      <w:sz w:val="20"/>
                      <w:szCs w:val="20"/>
                    </w:rPr>
                    <w:t>of fraud &amp; error identified £0</w:t>
                  </w:r>
                </w:p>
                <w:p w14:paraId="5978D611" w14:textId="77777777" w:rsidR="0069329D" w:rsidRPr="005D3873" w:rsidRDefault="0069329D" w:rsidP="004E23DA">
                  <w:pPr>
                    <w:rPr>
                      <w:sz w:val="20"/>
                      <w:szCs w:val="20"/>
                    </w:rPr>
                  </w:pPr>
                </w:p>
              </w:tc>
              <w:tc>
                <w:tcPr>
                  <w:tcW w:w="4161" w:type="dxa"/>
                  <w:shd w:val="clear" w:color="auto" w:fill="auto"/>
                </w:tcPr>
                <w:p w14:paraId="0BB92ECF" w14:textId="344F6899" w:rsidR="00BA3FCD" w:rsidRDefault="00BA3FCD" w:rsidP="004E23DA">
                  <w:pPr>
                    <w:rPr>
                      <w:b/>
                      <w:sz w:val="20"/>
                      <w:szCs w:val="20"/>
                    </w:rPr>
                  </w:pPr>
                </w:p>
                <w:p w14:paraId="656C89CD" w14:textId="77777777" w:rsidR="00CD48B8" w:rsidRPr="005D3873" w:rsidRDefault="00CD48B8" w:rsidP="004E23DA">
                  <w:pPr>
                    <w:rPr>
                      <w:b/>
                      <w:sz w:val="20"/>
                      <w:szCs w:val="20"/>
                    </w:rPr>
                  </w:pPr>
                </w:p>
                <w:p w14:paraId="5A456C80" w14:textId="77777777" w:rsidR="0069329D" w:rsidRPr="005D3873" w:rsidRDefault="0069329D" w:rsidP="004E23DA">
                  <w:pPr>
                    <w:rPr>
                      <w:b/>
                      <w:sz w:val="20"/>
                      <w:szCs w:val="20"/>
                    </w:rPr>
                  </w:pPr>
                  <w:r w:rsidRPr="005D3873">
                    <w:rPr>
                      <w:b/>
                      <w:sz w:val="20"/>
                      <w:szCs w:val="20"/>
                    </w:rPr>
                    <w:lastRenderedPageBreak/>
                    <w:t>Right to Buy</w:t>
                  </w:r>
                </w:p>
                <w:p w14:paraId="34605845" w14:textId="77777777" w:rsidR="0069329D" w:rsidRPr="005D3873" w:rsidRDefault="0069329D" w:rsidP="004E23DA">
                  <w:pPr>
                    <w:rPr>
                      <w:sz w:val="20"/>
                      <w:szCs w:val="20"/>
                    </w:rPr>
                  </w:pPr>
                  <w:r w:rsidRPr="005D3873">
                    <w:rPr>
                      <w:sz w:val="20"/>
                      <w:szCs w:val="20"/>
                    </w:rPr>
                    <w:t>Total matches 3</w:t>
                  </w:r>
                </w:p>
                <w:p w14:paraId="6F272CE0" w14:textId="77777777" w:rsidR="0069329D" w:rsidRPr="005D3873" w:rsidRDefault="0069329D" w:rsidP="004E23DA">
                  <w:pPr>
                    <w:rPr>
                      <w:sz w:val="20"/>
                      <w:szCs w:val="20"/>
                    </w:rPr>
                  </w:pPr>
                  <w:r w:rsidRPr="005D3873">
                    <w:rPr>
                      <w:sz w:val="20"/>
                      <w:szCs w:val="20"/>
                    </w:rPr>
                    <w:t>Total processed 3</w:t>
                  </w:r>
                </w:p>
                <w:p w14:paraId="4CF17719" w14:textId="77777777" w:rsidR="0069329D" w:rsidRPr="005D3873" w:rsidRDefault="0069329D" w:rsidP="004E23DA">
                  <w:pPr>
                    <w:rPr>
                      <w:sz w:val="20"/>
                      <w:szCs w:val="20"/>
                    </w:rPr>
                  </w:pPr>
                  <w:r w:rsidRPr="005D3873">
                    <w:rPr>
                      <w:sz w:val="20"/>
                      <w:szCs w:val="20"/>
                    </w:rPr>
                    <w:t>In progress 0</w:t>
                  </w:r>
                </w:p>
                <w:p w14:paraId="6672DF4F" w14:textId="77777777" w:rsidR="0069329D" w:rsidRPr="005D3873" w:rsidRDefault="0069329D" w:rsidP="004E23DA">
                  <w:pPr>
                    <w:rPr>
                      <w:sz w:val="20"/>
                      <w:szCs w:val="20"/>
                    </w:rPr>
                  </w:pPr>
                  <w:r w:rsidRPr="005D3873">
                    <w:rPr>
                      <w:sz w:val="20"/>
                      <w:szCs w:val="20"/>
                    </w:rPr>
                    <w:t xml:space="preserve">Value </w:t>
                  </w:r>
                  <w:r w:rsidR="009B3FFA" w:rsidRPr="005D3873">
                    <w:rPr>
                      <w:sz w:val="20"/>
                      <w:szCs w:val="20"/>
                    </w:rPr>
                    <w:t>of fraud &amp; error identified £0</w:t>
                  </w:r>
                </w:p>
                <w:p w14:paraId="5FEDC2BF" w14:textId="77777777" w:rsidR="0069329D" w:rsidRPr="005D3873" w:rsidRDefault="0069329D" w:rsidP="004E23DA">
                  <w:pPr>
                    <w:rPr>
                      <w:sz w:val="20"/>
                      <w:szCs w:val="20"/>
                    </w:rPr>
                  </w:pPr>
                </w:p>
              </w:tc>
            </w:tr>
            <w:tr w:rsidR="0069329D" w:rsidRPr="005D3873" w14:paraId="789ECCAB" w14:textId="77777777" w:rsidTr="004E23DA">
              <w:tc>
                <w:tcPr>
                  <w:tcW w:w="4160" w:type="dxa"/>
                  <w:shd w:val="clear" w:color="auto" w:fill="auto"/>
                </w:tcPr>
                <w:p w14:paraId="3CCF5E08" w14:textId="77777777" w:rsidR="0069329D" w:rsidRPr="005D3873" w:rsidRDefault="0069329D" w:rsidP="004E23DA">
                  <w:pPr>
                    <w:rPr>
                      <w:b/>
                      <w:sz w:val="20"/>
                      <w:szCs w:val="20"/>
                    </w:rPr>
                  </w:pPr>
                  <w:r w:rsidRPr="005D3873">
                    <w:rPr>
                      <w:b/>
                      <w:sz w:val="20"/>
                      <w:szCs w:val="20"/>
                    </w:rPr>
                    <w:lastRenderedPageBreak/>
                    <w:t>Private residential care homes</w:t>
                  </w:r>
                </w:p>
                <w:p w14:paraId="7A572674" w14:textId="77777777" w:rsidR="0069329D" w:rsidRPr="005D3873" w:rsidRDefault="009B3FFA" w:rsidP="004E23DA">
                  <w:pPr>
                    <w:rPr>
                      <w:sz w:val="20"/>
                      <w:szCs w:val="20"/>
                    </w:rPr>
                  </w:pPr>
                  <w:r w:rsidRPr="005D3873">
                    <w:rPr>
                      <w:sz w:val="20"/>
                      <w:szCs w:val="20"/>
                    </w:rPr>
                    <w:t>Total matches 47</w:t>
                  </w:r>
                </w:p>
                <w:p w14:paraId="7C6B3044" w14:textId="77777777" w:rsidR="0069329D" w:rsidRPr="005D3873" w:rsidRDefault="009B3FFA" w:rsidP="004E23DA">
                  <w:pPr>
                    <w:rPr>
                      <w:sz w:val="20"/>
                      <w:szCs w:val="20"/>
                    </w:rPr>
                  </w:pPr>
                  <w:r w:rsidRPr="005D3873">
                    <w:rPr>
                      <w:sz w:val="20"/>
                      <w:szCs w:val="20"/>
                    </w:rPr>
                    <w:t>Total processed 45</w:t>
                  </w:r>
                </w:p>
                <w:p w14:paraId="372791EC" w14:textId="77777777" w:rsidR="0069329D" w:rsidRPr="005D3873" w:rsidRDefault="0069329D" w:rsidP="004E23DA">
                  <w:pPr>
                    <w:rPr>
                      <w:sz w:val="20"/>
                      <w:szCs w:val="20"/>
                    </w:rPr>
                  </w:pPr>
                  <w:r w:rsidRPr="005D3873">
                    <w:rPr>
                      <w:sz w:val="20"/>
                      <w:szCs w:val="20"/>
                    </w:rPr>
                    <w:t>In progressed 0</w:t>
                  </w:r>
                </w:p>
                <w:p w14:paraId="0415CFE6" w14:textId="77777777" w:rsidR="0069329D" w:rsidRPr="005D3873" w:rsidRDefault="0069329D" w:rsidP="004E23DA">
                  <w:pPr>
                    <w:rPr>
                      <w:sz w:val="20"/>
                      <w:szCs w:val="20"/>
                    </w:rPr>
                  </w:pPr>
                  <w:r w:rsidRPr="005D3873">
                    <w:rPr>
                      <w:sz w:val="20"/>
                      <w:szCs w:val="20"/>
                    </w:rPr>
                    <w:t>Value of fraud &amp; error identified £12,086.70</w:t>
                  </w:r>
                </w:p>
                <w:p w14:paraId="53D550C4" w14:textId="77777777" w:rsidR="0069329D" w:rsidRPr="005D3873" w:rsidRDefault="0069329D" w:rsidP="004E23DA">
                  <w:pPr>
                    <w:rPr>
                      <w:b/>
                      <w:sz w:val="20"/>
                      <w:szCs w:val="20"/>
                    </w:rPr>
                  </w:pPr>
                </w:p>
              </w:tc>
              <w:tc>
                <w:tcPr>
                  <w:tcW w:w="4161" w:type="dxa"/>
                  <w:shd w:val="clear" w:color="auto" w:fill="auto"/>
                </w:tcPr>
                <w:p w14:paraId="39886178" w14:textId="77777777" w:rsidR="0069329D" w:rsidRPr="005D3873" w:rsidRDefault="0069329D" w:rsidP="004E23DA">
                  <w:pPr>
                    <w:rPr>
                      <w:b/>
                      <w:sz w:val="20"/>
                      <w:szCs w:val="20"/>
                    </w:rPr>
                  </w:pPr>
                  <w:r w:rsidRPr="005D3873">
                    <w:rPr>
                      <w:b/>
                      <w:sz w:val="20"/>
                      <w:szCs w:val="20"/>
                    </w:rPr>
                    <w:t>Residents parking permits</w:t>
                  </w:r>
                </w:p>
                <w:p w14:paraId="40101282" w14:textId="77777777" w:rsidR="0069329D" w:rsidRPr="005D3873" w:rsidRDefault="0069329D" w:rsidP="004E23DA">
                  <w:pPr>
                    <w:rPr>
                      <w:sz w:val="20"/>
                      <w:szCs w:val="20"/>
                    </w:rPr>
                  </w:pPr>
                  <w:r w:rsidRPr="005D3873">
                    <w:rPr>
                      <w:sz w:val="20"/>
                      <w:szCs w:val="20"/>
                    </w:rPr>
                    <w:t>Total matches 8</w:t>
                  </w:r>
                </w:p>
                <w:p w14:paraId="43A2DDDE" w14:textId="77777777" w:rsidR="0069329D" w:rsidRPr="005D3873" w:rsidRDefault="000C23B2" w:rsidP="004E23DA">
                  <w:pPr>
                    <w:rPr>
                      <w:sz w:val="20"/>
                      <w:szCs w:val="20"/>
                    </w:rPr>
                  </w:pPr>
                  <w:r w:rsidRPr="005D3873">
                    <w:rPr>
                      <w:sz w:val="20"/>
                      <w:szCs w:val="20"/>
                    </w:rPr>
                    <w:t>Processed 1</w:t>
                  </w:r>
                </w:p>
                <w:p w14:paraId="5A2662EA" w14:textId="77777777" w:rsidR="0069329D" w:rsidRPr="005D3873" w:rsidRDefault="0069329D" w:rsidP="004E23DA">
                  <w:pPr>
                    <w:rPr>
                      <w:sz w:val="20"/>
                      <w:szCs w:val="20"/>
                    </w:rPr>
                  </w:pPr>
                  <w:r w:rsidRPr="005D3873">
                    <w:rPr>
                      <w:sz w:val="20"/>
                      <w:szCs w:val="20"/>
                    </w:rPr>
                    <w:t>In progress 0</w:t>
                  </w:r>
                </w:p>
                <w:p w14:paraId="0DAD9FF9" w14:textId="77777777" w:rsidR="0069329D" w:rsidRPr="005D3873" w:rsidRDefault="0069329D" w:rsidP="004E23DA">
                  <w:pPr>
                    <w:rPr>
                      <w:sz w:val="20"/>
                      <w:szCs w:val="20"/>
                    </w:rPr>
                  </w:pPr>
                  <w:r w:rsidRPr="005D3873">
                    <w:rPr>
                      <w:sz w:val="20"/>
                      <w:szCs w:val="20"/>
                    </w:rPr>
                    <w:t xml:space="preserve">Value </w:t>
                  </w:r>
                  <w:r w:rsidR="000C23B2" w:rsidRPr="005D3873">
                    <w:rPr>
                      <w:sz w:val="20"/>
                      <w:szCs w:val="20"/>
                    </w:rPr>
                    <w:t>of fraud &amp; error identified £0</w:t>
                  </w:r>
                </w:p>
                <w:p w14:paraId="58DEDBB0" w14:textId="77777777" w:rsidR="0069329D" w:rsidRPr="005D3873" w:rsidRDefault="0069329D" w:rsidP="004E23DA">
                  <w:pPr>
                    <w:rPr>
                      <w:b/>
                      <w:sz w:val="20"/>
                      <w:szCs w:val="20"/>
                    </w:rPr>
                  </w:pPr>
                </w:p>
              </w:tc>
            </w:tr>
            <w:tr w:rsidR="0069329D" w:rsidRPr="005D3873" w14:paraId="221DC94C" w14:textId="77777777" w:rsidTr="004E23DA">
              <w:tc>
                <w:tcPr>
                  <w:tcW w:w="4160" w:type="dxa"/>
                  <w:shd w:val="clear" w:color="auto" w:fill="auto"/>
                </w:tcPr>
                <w:p w14:paraId="7F1EC53D" w14:textId="77777777" w:rsidR="0069329D" w:rsidRPr="005D3873" w:rsidRDefault="0069329D" w:rsidP="004E23DA">
                  <w:pPr>
                    <w:rPr>
                      <w:b/>
                      <w:sz w:val="20"/>
                      <w:szCs w:val="20"/>
                    </w:rPr>
                  </w:pPr>
                  <w:r w:rsidRPr="005D3873">
                    <w:rPr>
                      <w:b/>
                      <w:sz w:val="20"/>
                      <w:szCs w:val="20"/>
                    </w:rPr>
                    <w:t>Waiting list</w:t>
                  </w:r>
                </w:p>
                <w:p w14:paraId="5A819E95" w14:textId="77777777" w:rsidR="0069329D" w:rsidRPr="005D3873" w:rsidRDefault="0069329D" w:rsidP="004E23DA">
                  <w:pPr>
                    <w:rPr>
                      <w:sz w:val="20"/>
                      <w:szCs w:val="20"/>
                    </w:rPr>
                  </w:pPr>
                  <w:r w:rsidRPr="005D3873">
                    <w:rPr>
                      <w:sz w:val="20"/>
                      <w:szCs w:val="20"/>
                    </w:rPr>
                    <w:t>Total matches 316</w:t>
                  </w:r>
                </w:p>
                <w:p w14:paraId="39ADA9D9" w14:textId="77777777" w:rsidR="0069329D" w:rsidRPr="005D3873" w:rsidRDefault="000C23B2" w:rsidP="004E23DA">
                  <w:pPr>
                    <w:rPr>
                      <w:sz w:val="20"/>
                      <w:szCs w:val="20"/>
                    </w:rPr>
                  </w:pPr>
                  <w:r w:rsidRPr="005D3873">
                    <w:rPr>
                      <w:sz w:val="20"/>
                      <w:szCs w:val="20"/>
                    </w:rPr>
                    <w:t>Total processed 303</w:t>
                  </w:r>
                </w:p>
                <w:p w14:paraId="5659BD00" w14:textId="77777777" w:rsidR="0069329D" w:rsidRPr="005D3873" w:rsidRDefault="0069329D" w:rsidP="004E23DA">
                  <w:pPr>
                    <w:rPr>
                      <w:sz w:val="20"/>
                      <w:szCs w:val="20"/>
                    </w:rPr>
                  </w:pPr>
                  <w:r w:rsidRPr="005D3873">
                    <w:rPr>
                      <w:sz w:val="20"/>
                      <w:szCs w:val="20"/>
                    </w:rPr>
                    <w:t>In progress 0</w:t>
                  </w:r>
                </w:p>
                <w:p w14:paraId="4BB49AAA" w14:textId="77777777" w:rsidR="0069329D" w:rsidRPr="005D3873" w:rsidRDefault="0069329D" w:rsidP="004E23DA">
                  <w:pPr>
                    <w:rPr>
                      <w:sz w:val="20"/>
                      <w:szCs w:val="20"/>
                    </w:rPr>
                  </w:pPr>
                  <w:r w:rsidRPr="005D3873">
                    <w:rPr>
                      <w:sz w:val="20"/>
                      <w:szCs w:val="20"/>
                    </w:rPr>
                    <w:t>Value of f</w:t>
                  </w:r>
                  <w:r w:rsidR="000C23B2" w:rsidRPr="005D3873">
                    <w:rPr>
                      <w:sz w:val="20"/>
                      <w:szCs w:val="20"/>
                    </w:rPr>
                    <w:t>raud &amp; error identified £706,320</w:t>
                  </w:r>
                  <w:r w:rsidRPr="005D3873">
                    <w:rPr>
                      <w:rStyle w:val="FootnoteReference"/>
                      <w:sz w:val="20"/>
                      <w:szCs w:val="20"/>
                    </w:rPr>
                    <w:footnoteReference w:id="1"/>
                  </w:r>
                </w:p>
                <w:p w14:paraId="6A9E5AA6" w14:textId="77777777" w:rsidR="0069329D" w:rsidRPr="005D3873" w:rsidRDefault="0069329D" w:rsidP="004E23DA">
                  <w:pPr>
                    <w:rPr>
                      <w:b/>
                      <w:sz w:val="20"/>
                      <w:szCs w:val="20"/>
                    </w:rPr>
                  </w:pPr>
                </w:p>
              </w:tc>
              <w:tc>
                <w:tcPr>
                  <w:tcW w:w="4161" w:type="dxa"/>
                  <w:shd w:val="clear" w:color="auto" w:fill="auto"/>
                </w:tcPr>
                <w:p w14:paraId="58088BEA" w14:textId="77777777" w:rsidR="0069329D" w:rsidRPr="005D3873" w:rsidRDefault="0069329D" w:rsidP="004E23DA">
                  <w:pPr>
                    <w:rPr>
                      <w:b/>
                      <w:sz w:val="20"/>
                      <w:szCs w:val="20"/>
                    </w:rPr>
                  </w:pPr>
                  <w:r w:rsidRPr="005D3873">
                    <w:rPr>
                      <w:b/>
                      <w:sz w:val="20"/>
                      <w:szCs w:val="20"/>
                    </w:rPr>
                    <w:t>Blue badge parking permit</w:t>
                  </w:r>
                </w:p>
                <w:p w14:paraId="5AEC6247" w14:textId="49D732FA" w:rsidR="0069329D" w:rsidRPr="005D3873" w:rsidRDefault="000C23B2" w:rsidP="004E23DA">
                  <w:pPr>
                    <w:rPr>
                      <w:sz w:val="20"/>
                      <w:szCs w:val="20"/>
                    </w:rPr>
                  </w:pPr>
                  <w:r w:rsidRPr="005D3873">
                    <w:rPr>
                      <w:sz w:val="20"/>
                      <w:szCs w:val="20"/>
                    </w:rPr>
                    <w:t>Total matches 5</w:t>
                  </w:r>
                  <w:r w:rsidR="005E4293" w:rsidRPr="005D3873">
                    <w:rPr>
                      <w:sz w:val="20"/>
                      <w:szCs w:val="20"/>
                    </w:rPr>
                    <w:t>07</w:t>
                  </w:r>
                </w:p>
                <w:p w14:paraId="39832891" w14:textId="2965A7C6" w:rsidR="0069329D" w:rsidRPr="005D3873" w:rsidRDefault="002F7167" w:rsidP="004E23DA">
                  <w:pPr>
                    <w:rPr>
                      <w:sz w:val="20"/>
                      <w:szCs w:val="20"/>
                    </w:rPr>
                  </w:pPr>
                  <w:r w:rsidRPr="005D3873">
                    <w:rPr>
                      <w:sz w:val="20"/>
                      <w:szCs w:val="20"/>
                    </w:rPr>
                    <w:t xml:space="preserve">Total processed </w:t>
                  </w:r>
                  <w:r w:rsidR="005E4293" w:rsidRPr="005D3873">
                    <w:rPr>
                      <w:sz w:val="20"/>
                      <w:szCs w:val="20"/>
                    </w:rPr>
                    <w:t>391</w:t>
                  </w:r>
                </w:p>
                <w:p w14:paraId="77B8164B" w14:textId="4DB7A796" w:rsidR="0069329D" w:rsidRPr="005D3873" w:rsidRDefault="002F7167" w:rsidP="004E23DA">
                  <w:pPr>
                    <w:rPr>
                      <w:sz w:val="20"/>
                      <w:szCs w:val="20"/>
                    </w:rPr>
                  </w:pPr>
                  <w:r w:rsidRPr="005D3873">
                    <w:rPr>
                      <w:sz w:val="20"/>
                      <w:szCs w:val="20"/>
                    </w:rPr>
                    <w:t xml:space="preserve">In progress </w:t>
                  </w:r>
                  <w:r w:rsidR="005E4293" w:rsidRPr="005D3873">
                    <w:rPr>
                      <w:sz w:val="20"/>
                      <w:szCs w:val="20"/>
                    </w:rPr>
                    <w:t>116</w:t>
                  </w:r>
                </w:p>
                <w:p w14:paraId="6C3C305B" w14:textId="77777777" w:rsidR="0069329D" w:rsidRPr="005D3873" w:rsidRDefault="0069329D" w:rsidP="004E23DA">
                  <w:pPr>
                    <w:rPr>
                      <w:sz w:val="20"/>
                      <w:szCs w:val="20"/>
                    </w:rPr>
                  </w:pPr>
                  <w:r w:rsidRPr="005D3873">
                    <w:rPr>
                      <w:sz w:val="20"/>
                      <w:szCs w:val="20"/>
                    </w:rPr>
                    <w:t>Value of fra</w:t>
                  </w:r>
                  <w:r w:rsidR="002F7167" w:rsidRPr="005D3873">
                    <w:rPr>
                      <w:sz w:val="20"/>
                      <w:szCs w:val="20"/>
                    </w:rPr>
                    <w:t>ud &amp; error identified £80,500</w:t>
                  </w:r>
                  <w:r w:rsidRPr="005D3873">
                    <w:rPr>
                      <w:rStyle w:val="FootnoteReference"/>
                      <w:sz w:val="20"/>
                      <w:szCs w:val="20"/>
                    </w:rPr>
                    <w:footnoteReference w:id="2"/>
                  </w:r>
                  <w:r w:rsidRPr="005D3873">
                    <w:rPr>
                      <w:sz w:val="20"/>
                      <w:szCs w:val="20"/>
                    </w:rPr>
                    <w:t xml:space="preserve"> </w:t>
                  </w:r>
                </w:p>
                <w:p w14:paraId="5C180FAA" w14:textId="77777777" w:rsidR="0069329D" w:rsidRPr="005D3873" w:rsidRDefault="0069329D" w:rsidP="004E23DA">
                  <w:pPr>
                    <w:rPr>
                      <w:b/>
                      <w:sz w:val="20"/>
                      <w:szCs w:val="20"/>
                    </w:rPr>
                  </w:pPr>
                </w:p>
              </w:tc>
            </w:tr>
          </w:tbl>
          <w:p w14:paraId="6BC02899" w14:textId="0E6ED861" w:rsidR="00C60861" w:rsidRPr="005D3873" w:rsidRDefault="00C60861" w:rsidP="004E23DA">
            <w:pPr>
              <w:rPr>
                <w:sz w:val="20"/>
                <w:szCs w:val="20"/>
                <w:lang w:val="en-US"/>
              </w:rPr>
            </w:pPr>
            <w:r w:rsidRPr="005D3873">
              <w:rPr>
                <w:sz w:val="20"/>
                <w:szCs w:val="20"/>
                <w:lang w:val="en-US"/>
              </w:rPr>
              <w:t xml:space="preserve">There have been </w:t>
            </w:r>
            <w:r w:rsidR="008F461C" w:rsidRPr="005D3873">
              <w:rPr>
                <w:sz w:val="20"/>
                <w:szCs w:val="20"/>
                <w:lang w:val="en-US"/>
              </w:rPr>
              <w:t xml:space="preserve">11 NFI </w:t>
            </w:r>
            <w:r w:rsidRPr="005D3873">
              <w:rPr>
                <w:sz w:val="20"/>
                <w:szCs w:val="20"/>
                <w:lang w:val="en-US"/>
              </w:rPr>
              <w:t>fraud referrals to the CAFT since April 2</w:t>
            </w:r>
            <w:r w:rsidR="00DE163E" w:rsidRPr="005D3873">
              <w:rPr>
                <w:sz w:val="20"/>
                <w:szCs w:val="20"/>
                <w:lang w:val="en-US"/>
              </w:rPr>
              <w:t xml:space="preserve">019, </w:t>
            </w:r>
            <w:r w:rsidR="00E3673A">
              <w:rPr>
                <w:sz w:val="20"/>
                <w:szCs w:val="20"/>
                <w:lang w:val="en-US"/>
              </w:rPr>
              <w:t>7</w:t>
            </w:r>
            <w:r w:rsidR="00DE163E" w:rsidRPr="005D3873">
              <w:rPr>
                <w:sz w:val="20"/>
                <w:szCs w:val="20"/>
                <w:lang w:val="en-US"/>
              </w:rPr>
              <w:t xml:space="preserve"> have </w:t>
            </w:r>
            <w:r w:rsidR="00FB1137" w:rsidRPr="005D3873">
              <w:rPr>
                <w:sz w:val="20"/>
                <w:szCs w:val="20"/>
                <w:lang w:val="en-US"/>
              </w:rPr>
              <w:t>been closed no further action</w:t>
            </w:r>
            <w:r w:rsidR="00DE163E" w:rsidRPr="005D3873">
              <w:rPr>
                <w:sz w:val="20"/>
                <w:szCs w:val="20"/>
                <w:lang w:val="en-US"/>
              </w:rPr>
              <w:t xml:space="preserve">, 2 were closed as positive outcomes (CTRS cases) and </w:t>
            </w:r>
            <w:r w:rsidR="00E3673A">
              <w:rPr>
                <w:sz w:val="20"/>
                <w:szCs w:val="20"/>
                <w:lang w:val="en-US"/>
              </w:rPr>
              <w:t>2</w:t>
            </w:r>
            <w:r w:rsidR="00DE163E" w:rsidRPr="005D3873">
              <w:rPr>
                <w:sz w:val="20"/>
                <w:szCs w:val="20"/>
                <w:lang w:val="en-US"/>
              </w:rPr>
              <w:t xml:space="preserve"> cases are still under investigation.</w:t>
            </w:r>
          </w:p>
          <w:p w14:paraId="45E25411" w14:textId="77777777" w:rsidR="00C60861" w:rsidRPr="005D3873" w:rsidRDefault="00C60861" w:rsidP="004E23DA">
            <w:pPr>
              <w:rPr>
                <w:b/>
                <w:sz w:val="20"/>
                <w:szCs w:val="20"/>
                <w:lang w:val="en-US"/>
              </w:rPr>
            </w:pPr>
            <w:r w:rsidRPr="005D3873">
              <w:rPr>
                <w:b/>
                <w:sz w:val="20"/>
                <w:szCs w:val="20"/>
                <w:lang w:val="en-US"/>
              </w:rPr>
              <w:t xml:space="preserve"> </w:t>
            </w:r>
          </w:p>
          <w:p w14:paraId="16BFEBF7" w14:textId="77777777" w:rsidR="0069329D" w:rsidRPr="005D3873" w:rsidRDefault="00C60861" w:rsidP="004E23DA">
            <w:pPr>
              <w:rPr>
                <w:b/>
                <w:sz w:val="20"/>
                <w:szCs w:val="20"/>
                <w:lang w:val="en-US"/>
              </w:rPr>
            </w:pPr>
            <w:r w:rsidRPr="005D3873">
              <w:rPr>
                <w:b/>
                <w:sz w:val="20"/>
                <w:szCs w:val="20"/>
                <w:lang w:val="en-US"/>
              </w:rPr>
              <w:t xml:space="preserve"> </w:t>
            </w:r>
          </w:p>
          <w:p w14:paraId="5BCC29C3" w14:textId="14AD6C29" w:rsidR="0069329D" w:rsidRPr="00AB098A" w:rsidRDefault="0069329D" w:rsidP="004E23DA">
            <w:pPr>
              <w:rPr>
                <w:b/>
                <w:color w:val="FF0000"/>
                <w:sz w:val="20"/>
                <w:szCs w:val="20"/>
                <w:lang w:val="en-US"/>
              </w:rPr>
            </w:pPr>
            <w:r w:rsidRPr="005D3873">
              <w:rPr>
                <w:b/>
                <w:sz w:val="20"/>
                <w:szCs w:val="20"/>
                <w:lang w:val="en-US"/>
              </w:rPr>
              <w:t xml:space="preserve">Overall </w:t>
            </w:r>
            <w:r w:rsidR="0013361D" w:rsidRPr="005D3873">
              <w:rPr>
                <w:b/>
                <w:sz w:val="20"/>
                <w:szCs w:val="20"/>
                <w:lang w:val="en-US"/>
              </w:rPr>
              <w:t xml:space="preserve">cumulative </w:t>
            </w:r>
            <w:r w:rsidRPr="005D3873">
              <w:rPr>
                <w:b/>
                <w:sz w:val="20"/>
                <w:szCs w:val="20"/>
                <w:lang w:val="en-US"/>
              </w:rPr>
              <w:t>fraud savings attributed to this wo</w:t>
            </w:r>
            <w:r w:rsidR="001E7C5E" w:rsidRPr="005D3873">
              <w:rPr>
                <w:b/>
                <w:sz w:val="20"/>
                <w:szCs w:val="20"/>
                <w:lang w:val="en-US"/>
              </w:rPr>
              <w:t xml:space="preserve">rk stream is </w:t>
            </w:r>
            <w:r w:rsidR="009D2C73" w:rsidRPr="005D3873">
              <w:rPr>
                <w:b/>
                <w:sz w:val="20"/>
                <w:szCs w:val="20"/>
                <w:lang w:val="en-US"/>
              </w:rPr>
              <w:t>£940,842.93</w:t>
            </w:r>
          </w:p>
        </w:tc>
      </w:tr>
    </w:tbl>
    <w:p w14:paraId="1DCC12F4" w14:textId="77777777" w:rsidR="005F7FEC" w:rsidRDefault="00EA4ED6">
      <w:r>
        <w:lastRenderedPageBreak/>
        <w:br w:type="page"/>
      </w:r>
    </w:p>
    <w:tbl>
      <w:tblPr>
        <w:tblW w:w="13183" w:type="dxa"/>
        <w:tblInd w:w="-34" w:type="dxa"/>
        <w:tblLayout w:type="fixed"/>
        <w:tblLook w:val="0000" w:firstRow="0" w:lastRow="0" w:firstColumn="0" w:lastColumn="0" w:noHBand="0" w:noVBand="0"/>
      </w:tblPr>
      <w:tblGrid>
        <w:gridCol w:w="576"/>
        <w:gridCol w:w="3961"/>
        <w:gridCol w:w="8646"/>
      </w:tblGrid>
      <w:tr w:rsidR="0017605D" w:rsidRPr="00380629" w14:paraId="5644BCFD" w14:textId="77777777" w:rsidTr="0017605D">
        <w:trPr>
          <w:trHeight w:val="602"/>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38FFD78F" w14:textId="77777777" w:rsidR="0017605D" w:rsidRDefault="0017605D" w:rsidP="00D67E75">
            <w:pPr>
              <w:rPr>
                <w:b/>
                <w:bCs/>
                <w:sz w:val="20"/>
                <w:szCs w:val="20"/>
                <w:lang w:val="en-US"/>
              </w:rPr>
            </w:pPr>
          </w:p>
        </w:tc>
        <w:tc>
          <w:tcPr>
            <w:tcW w:w="3961" w:type="dxa"/>
            <w:tcBorders>
              <w:top w:val="single" w:sz="4" w:space="0" w:color="auto"/>
              <w:left w:val="single" w:sz="4" w:space="0" w:color="auto"/>
              <w:bottom w:val="single" w:sz="4" w:space="0" w:color="auto"/>
              <w:right w:val="single" w:sz="4" w:space="0" w:color="auto"/>
            </w:tcBorders>
            <w:shd w:val="clear" w:color="auto" w:fill="17365D"/>
            <w:noWrap/>
            <w:vAlign w:val="bottom"/>
          </w:tcPr>
          <w:p w14:paraId="49FD5646" w14:textId="77777777" w:rsidR="0017605D" w:rsidRDefault="0017605D" w:rsidP="00D67E75">
            <w:pPr>
              <w:rPr>
                <w:b/>
                <w:bCs/>
                <w:sz w:val="20"/>
                <w:szCs w:val="20"/>
                <w:lang w:val="en-US"/>
              </w:rPr>
            </w:pPr>
          </w:p>
          <w:p w14:paraId="16E3A6A8" w14:textId="77777777" w:rsidR="0017605D" w:rsidRDefault="0017605D" w:rsidP="00D67E75">
            <w:pPr>
              <w:rPr>
                <w:b/>
                <w:bCs/>
                <w:sz w:val="20"/>
                <w:szCs w:val="20"/>
                <w:lang w:val="en-US"/>
              </w:rPr>
            </w:pPr>
            <w:r>
              <w:rPr>
                <w:b/>
                <w:bCs/>
                <w:sz w:val="20"/>
                <w:szCs w:val="20"/>
                <w:lang w:val="en-US"/>
              </w:rPr>
              <w:t>Fraud work stream</w:t>
            </w:r>
          </w:p>
          <w:p w14:paraId="367D2BBC" w14:textId="77777777" w:rsidR="0017605D" w:rsidRPr="00380629" w:rsidRDefault="0017605D" w:rsidP="00D67E75">
            <w:pPr>
              <w:rPr>
                <w:b/>
                <w:bCs/>
                <w:sz w:val="20"/>
                <w:szCs w:val="20"/>
                <w:lang w:val="en-US"/>
              </w:rPr>
            </w:pPr>
          </w:p>
        </w:tc>
        <w:tc>
          <w:tcPr>
            <w:tcW w:w="8646" w:type="dxa"/>
            <w:tcBorders>
              <w:top w:val="single" w:sz="4" w:space="0" w:color="auto"/>
              <w:left w:val="nil"/>
              <w:bottom w:val="single" w:sz="4" w:space="0" w:color="auto"/>
              <w:right w:val="single" w:sz="4" w:space="0" w:color="auto"/>
            </w:tcBorders>
            <w:shd w:val="clear" w:color="auto" w:fill="17365D"/>
            <w:vAlign w:val="center"/>
          </w:tcPr>
          <w:p w14:paraId="7B03A7AE" w14:textId="77777777" w:rsidR="0017605D" w:rsidRPr="00380629" w:rsidRDefault="00FB1137" w:rsidP="00D67E75">
            <w:pPr>
              <w:rPr>
                <w:b/>
                <w:bCs/>
                <w:sz w:val="20"/>
                <w:szCs w:val="20"/>
                <w:lang w:val="en-US"/>
              </w:rPr>
            </w:pPr>
            <w:r>
              <w:rPr>
                <w:b/>
                <w:bCs/>
                <w:sz w:val="20"/>
                <w:szCs w:val="20"/>
                <w:lang w:val="en-US"/>
              </w:rPr>
              <w:t xml:space="preserve">2019-20 </w:t>
            </w:r>
            <w:r w:rsidR="00110C22">
              <w:rPr>
                <w:b/>
                <w:bCs/>
                <w:sz w:val="20"/>
                <w:szCs w:val="20"/>
                <w:lang w:val="en-US"/>
              </w:rPr>
              <w:t>Year end outcome</w:t>
            </w:r>
          </w:p>
        </w:tc>
      </w:tr>
      <w:tr w:rsidR="0097375D" w:rsidRPr="0075312F" w14:paraId="0D7C1167"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26131CA4" w14:textId="77777777" w:rsidR="0097375D" w:rsidRDefault="0097375D" w:rsidP="007816FE">
            <w:pPr>
              <w:rPr>
                <w:sz w:val="20"/>
                <w:szCs w:val="20"/>
                <w:lang w:val="en-US"/>
              </w:rPr>
            </w:pPr>
            <w:r>
              <w:rPr>
                <w:sz w:val="20"/>
                <w:szCs w:val="20"/>
                <w:lang w:val="en-US"/>
              </w:rPr>
              <w:t>7.</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463E742E" w14:textId="77777777" w:rsidR="0097375D" w:rsidRDefault="0097375D" w:rsidP="007816FE">
            <w:pPr>
              <w:rPr>
                <w:b/>
                <w:sz w:val="20"/>
                <w:szCs w:val="20"/>
                <w:lang w:val="en-US"/>
              </w:rPr>
            </w:pPr>
            <w:r>
              <w:rPr>
                <w:b/>
                <w:sz w:val="20"/>
                <w:szCs w:val="20"/>
                <w:lang w:val="en-US"/>
              </w:rPr>
              <w:t>London Counter Fraud Hub (LCFH)</w:t>
            </w:r>
          </w:p>
          <w:p w14:paraId="64FBCFD1" w14:textId="77777777" w:rsidR="0097375D" w:rsidRDefault="0097375D" w:rsidP="007816FE">
            <w:pPr>
              <w:rPr>
                <w:b/>
                <w:sz w:val="20"/>
                <w:szCs w:val="20"/>
                <w:lang w:val="en-US"/>
              </w:rPr>
            </w:pPr>
          </w:p>
          <w:p w14:paraId="2B606D3A" w14:textId="77777777" w:rsidR="0097375D" w:rsidRDefault="0097375D" w:rsidP="0097375D">
            <w:pPr>
              <w:pStyle w:val="Default"/>
              <w:rPr>
                <w:sz w:val="20"/>
                <w:szCs w:val="20"/>
              </w:rPr>
            </w:pPr>
            <w:r>
              <w:rPr>
                <w:sz w:val="20"/>
                <w:szCs w:val="20"/>
              </w:rPr>
              <w:t xml:space="preserve">Explore the membership of the London Counter Fraud Hub (LCFH) which may result in the authority participating in a pan London data matching exercise focusing on Council Tax Single Person Discount, Business rates and Housing Tenancy fraud. </w:t>
            </w:r>
          </w:p>
          <w:p w14:paraId="2D4B1DEB" w14:textId="77777777" w:rsidR="0097375D" w:rsidRPr="007C6042" w:rsidRDefault="0097375D" w:rsidP="007816FE">
            <w:pPr>
              <w:rPr>
                <w:b/>
                <w:sz w:val="20"/>
                <w:szCs w:val="20"/>
                <w:lang w:val="en-US"/>
              </w:rPr>
            </w:pPr>
          </w:p>
        </w:tc>
        <w:tc>
          <w:tcPr>
            <w:tcW w:w="8646" w:type="dxa"/>
            <w:tcBorders>
              <w:top w:val="single" w:sz="4" w:space="0" w:color="auto"/>
              <w:left w:val="nil"/>
              <w:bottom w:val="single" w:sz="4" w:space="0" w:color="auto"/>
              <w:right w:val="single" w:sz="4" w:space="0" w:color="auto"/>
            </w:tcBorders>
            <w:shd w:val="clear" w:color="auto" w:fill="auto"/>
          </w:tcPr>
          <w:p w14:paraId="35C77DAA" w14:textId="1C5EAD51" w:rsidR="0097375D" w:rsidRPr="00E3673A" w:rsidRDefault="00AB098A" w:rsidP="00EE6ACD">
            <w:pPr>
              <w:rPr>
                <w:b/>
                <w:sz w:val="20"/>
                <w:szCs w:val="20"/>
              </w:rPr>
            </w:pPr>
            <w:r w:rsidRPr="00E3673A">
              <w:rPr>
                <w:b/>
                <w:sz w:val="20"/>
                <w:szCs w:val="20"/>
              </w:rPr>
              <w:t>Objective a</w:t>
            </w:r>
            <w:r w:rsidR="004052E3" w:rsidRPr="00E3673A">
              <w:rPr>
                <w:b/>
                <w:sz w:val="20"/>
                <w:szCs w:val="20"/>
              </w:rPr>
              <w:t>chieved</w:t>
            </w:r>
          </w:p>
          <w:p w14:paraId="412CAC90" w14:textId="77777777" w:rsidR="0097375D" w:rsidRPr="00E3673A" w:rsidRDefault="0097375D" w:rsidP="00EE6ACD">
            <w:pPr>
              <w:rPr>
                <w:b/>
                <w:sz w:val="20"/>
                <w:szCs w:val="20"/>
              </w:rPr>
            </w:pPr>
          </w:p>
          <w:p w14:paraId="69E4E6ED" w14:textId="71EE28B5" w:rsidR="0097375D" w:rsidRPr="004052E3" w:rsidRDefault="0097375D" w:rsidP="005050D7">
            <w:pPr>
              <w:rPr>
                <w:color w:val="FF0000"/>
                <w:sz w:val="20"/>
                <w:szCs w:val="20"/>
              </w:rPr>
            </w:pPr>
            <w:r w:rsidRPr="00E3673A">
              <w:rPr>
                <w:sz w:val="20"/>
                <w:szCs w:val="20"/>
              </w:rPr>
              <w:t>LCFH has</w:t>
            </w:r>
            <w:r w:rsidR="004052E3" w:rsidRPr="00E3673A">
              <w:rPr>
                <w:sz w:val="20"/>
                <w:szCs w:val="20"/>
              </w:rPr>
              <w:t xml:space="preserve"> now been rebranded the C</w:t>
            </w:r>
            <w:r w:rsidR="00D305D9" w:rsidRPr="00E3673A">
              <w:rPr>
                <w:sz w:val="20"/>
                <w:szCs w:val="20"/>
              </w:rPr>
              <w:t>IPFA</w:t>
            </w:r>
            <w:r w:rsidR="004052E3" w:rsidRPr="00E3673A">
              <w:rPr>
                <w:sz w:val="20"/>
                <w:szCs w:val="20"/>
              </w:rPr>
              <w:t xml:space="preserve"> Counter Fraud Hu</w:t>
            </w:r>
            <w:r w:rsidR="00E3673A">
              <w:rPr>
                <w:sz w:val="20"/>
                <w:szCs w:val="20"/>
              </w:rPr>
              <w:t>b</w:t>
            </w:r>
            <w:r w:rsidR="00DB5A81">
              <w:rPr>
                <w:sz w:val="20"/>
                <w:szCs w:val="20"/>
              </w:rPr>
              <w:t xml:space="preserve"> and there have been some minor changes to the membership conditions</w:t>
            </w:r>
            <w:r w:rsidR="00CD48B8">
              <w:rPr>
                <w:sz w:val="20"/>
                <w:szCs w:val="20"/>
              </w:rPr>
              <w:t xml:space="preserve">.  Nevertheless, it is unlikely that the authority will commit to joining </w:t>
            </w:r>
            <w:r w:rsidR="007F4CC8">
              <w:rPr>
                <w:sz w:val="20"/>
                <w:szCs w:val="20"/>
              </w:rPr>
              <w:t>whilst the projected return on investment does not make financial sense.</w:t>
            </w:r>
          </w:p>
        </w:tc>
      </w:tr>
      <w:tr w:rsidR="00887E43" w:rsidRPr="0075312F" w14:paraId="08F85D14"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6BB46732" w14:textId="77777777" w:rsidR="00887E43" w:rsidRDefault="00887E43" w:rsidP="007816FE">
            <w:pPr>
              <w:rPr>
                <w:sz w:val="20"/>
                <w:szCs w:val="20"/>
                <w:lang w:val="en-US"/>
              </w:rPr>
            </w:pPr>
            <w:r>
              <w:rPr>
                <w:sz w:val="20"/>
                <w:szCs w:val="20"/>
                <w:lang w:val="en-US"/>
              </w:rPr>
              <w:t>8.</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02E7CDA6" w14:textId="77777777" w:rsidR="00887E43" w:rsidRPr="00887E43" w:rsidRDefault="00887E43" w:rsidP="00887E43">
            <w:pPr>
              <w:pStyle w:val="Default"/>
              <w:rPr>
                <w:b/>
                <w:sz w:val="20"/>
                <w:szCs w:val="20"/>
              </w:rPr>
            </w:pPr>
            <w:r w:rsidRPr="00887E43">
              <w:rPr>
                <w:b/>
                <w:sz w:val="20"/>
                <w:szCs w:val="20"/>
              </w:rPr>
              <w:t xml:space="preserve">Participate in a Cifas 6 month pilot membership </w:t>
            </w:r>
          </w:p>
          <w:p w14:paraId="11C8FCC0" w14:textId="77777777" w:rsidR="00887E43" w:rsidRDefault="00887E43" w:rsidP="007816FE">
            <w:pPr>
              <w:rPr>
                <w:b/>
                <w:sz w:val="20"/>
                <w:szCs w:val="20"/>
                <w:lang w:val="en-US"/>
              </w:rPr>
            </w:pPr>
          </w:p>
          <w:p w14:paraId="66950201" w14:textId="77777777" w:rsidR="00887E43" w:rsidRDefault="00887E43" w:rsidP="00887E43">
            <w:pPr>
              <w:pStyle w:val="Default"/>
              <w:rPr>
                <w:sz w:val="20"/>
                <w:szCs w:val="20"/>
              </w:rPr>
            </w:pPr>
            <w:r>
              <w:rPr>
                <w:sz w:val="20"/>
                <w:szCs w:val="20"/>
              </w:rPr>
              <w:t xml:space="preserve">Join a 6 month pilot membership of Cifas which is the UK’s leading fraud prevention service that facilitates the sharing of fraud data for the prevention and detection of crime across the public, private and third sectors. </w:t>
            </w:r>
          </w:p>
          <w:p w14:paraId="7D7AD04D" w14:textId="77777777" w:rsidR="00887E43" w:rsidRPr="007C6042" w:rsidRDefault="00887E43" w:rsidP="007816FE">
            <w:pPr>
              <w:rPr>
                <w:b/>
                <w:sz w:val="20"/>
                <w:szCs w:val="20"/>
                <w:lang w:val="en-US"/>
              </w:rPr>
            </w:pPr>
          </w:p>
        </w:tc>
        <w:tc>
          <w:tcPr>
            <w:tcW w:w="8646" w:type="dxa"/>
            <w:tcBorders>
              <w:top w:val="single" w:sz="4" w:space="0" w:color="auto"/>
              <w:left w:val="nil"/>
              <w:bottom w:val="single" w:sz="4" w:space="0" w:color="auto"/>
              <w:right w:val="single" w:sz="4" w:space="0" w:color="auto"/>
            </w:tcBorders>
            <w:shd w:val="clear" w:color="auto" w:fill="auto"/>
          </w:tcPr>
          <w:p w14:paraId="6B962869" w14:textId="75E7562A" w:rsidR="00887E43" w:rsidRPr="00E3673A" w:rsidRDefault="00AB098A" w:rsidP="00EE6ACD">
            <w:pPr>
              <w:rPr>
                <w:b/>
                <w:sz w:val="20"/>
                <w:szCs w:val="20"/>
              </w:rPr>
            </w:pPr>
            <w:r w:rsidRPr="00E3673A">
              <w:rPr>
                <w:b/>
                <w:sz w:val="20"/>
                <w:szCs w:val="20"/>
              </w:rPr>
              <w:t>Objective a</w:t>
            </w:r>
            <w:r w:rsidR="00FF0FCC" w:rsidRPr="00E3673A">
              <w:rPr>
                <w:b/>
                <w:sz w:val="20"/>
                <w:szCs w:val="20"/>
              </w:rPr>
              <w:t>chieved</w:t>
            </w:r>
          </w:p>
          <w:p w14:paraId="7A992985" w14:textId="77777777" w:rsidR="00887E43" w:rsidRPr="00E3673A" w:rsidRDefault="00887E43" w:rsidP="00EE6ACD">
            <w:pPr>
              <w:rPr>
                <w:b/>
                <w:sz w:val="20"/>
                <w:szCs w:val="20"/>
              </w:rPr>
            </w:pPr>
          </w:p>
          <w:p w14:paraId="60DACA60" w14:textId="77777777" w:rsidR="00C60861" w:rsidRPr="00E3673A" w:rsidRDefault="00C60861" w:rsidP="00EE6ACD">
            <w:pPr>
              <w:rPr>
                <w:sz w:val="20"/>
                <w:szCs w:val="20"/>
              </w:rPr>
            </w:pPr>
            <w:r w:rsidRPr="00E3673A">
              <w:rPr>
                <w:sz w:val="20"/>
                <w:szCs w:val="20"/>
              </w:rPr>
              <w:t>Cifas is a not for profit organisation run for members to securely exchange information about known frauds affecting their business to enable other members to protect themselves</w:t>
            </w:r>
            <w:r w:rsidR="007A75AD" w:rsidRPr="00E3673A">
              <w:rPr>
                <w:sz w:val="20"/>
                <w:szCs w:val="20"/>
              </w:rPr>
              <w:t xml:space="preserve"> from fraud and corruption</w:t>
            </w:r>
            <w:r w:rsidRPr="00E3673A">
              <w:rPr>
                <w:sz w:val="20"/>
                <w:szCs w:val="20"/>
              </w:rPr>
              <w:t xml:space="preserve">.  Membership </w:t>
            </w:r>
            <w:r w:rsidR="007A75AD" w:rsidRPr="00E3673A">
              <w:rPr>
                <w:sz w:val="20"/>
                <w:szCs w:val="20"/>
              </w:rPr>
              <w:t xml:space="preserve">of Cifas </w:t>
            </w:r>
            <w:r w:rsidRPr="00E3673A">
              <w:rPr>
                <w:sz w:val="20"/>
                <w:szCs w:val="20"/>
              </w:rPr>
              <w:t>allows organisations to both file frauds that reach an evidence threshold and to search the database at any</w:t>
            </w:r>
            <w:r w:rsidR="007A75AD" w:rsidRPr="00E3673A">
              <w:rPr>
                <w:sz w:val="20"/>
                <w:szCs w:val="20"/>
              </w:rPr>
              <w:t xml:space="preserve"> </w:t>
            </w:r>
            <w:r w:rsidRPr="00E3673A">
              <w:rPr>
                <w:sz w:val="20"/>
                <w:szCs w:val="20"/>
              </w:rPr>
              <w:t>time during a customer relationship to see if they are known to other members</w:t>
            </w:r>
            <w:r w:rsidR="007A75AD" w:rsidRPr="00E3673A">
              <w:rPr>
                <w:sz w:val="20"/>
                <w:szCs w:val="20"/>
              </w:rPr>
              <w:t xml:space="preserve"> as fraudsters</w:t>
            </w:r>
            <w:r w:rsidRPr="00E3673A">
              <w:rPr>
                <w:sz w:val="20"/>
                <w:szCs w:val="20"/>
              </w:rPr>
              <w:t xml:space="preserve">.  </w:t>
            </w:r>
          </w:p>
          <w:p w14:paraId="4492B6D7" w14:textId="77777777" w:rsidR="00C60861" w:rsidRPr="00E3673A" w:rsidRDefault="00C60861" w:rsidP="00EE6ACD">
            <w:pPr>
              <w:rPr>
                <w:sz w:val="20"/>
                <w:szCs w:val="20"/>
              </w:rPr>
            </w:pPr>
          </w:p>
          <w:p w14:paraId="4B7D3A82" w14:textId="77777777" w:rsidR="007A75AD" w:rsidRPr="00E3673A" w:rsidRDefault="00887E43" w:rsidP="00EE6ACD">
            <w:pPr>
              <w:rPr>
                <w:sz w:val="20"/>
                <w:szCs w:val="20"/>
              </w:rPr>
            </w:pPr>
            <w:r w:rsidRPr="00E3673A">
              <w:rPr>
                <w:sz w:val="20"/>
                <w:szCs w:val="20"/>
              </w:rPr>
              <w:t xml:space="preserve">The </w:t>
            </w:r>
            <w:r w:rsidR="00D305D9" w:rsidRPr="00E3673A">
              <w:rPr>
                <w:sz w:val="20"/>
                <w:szCs w:val="20"/>
              </w:rPr>
              <w:t xml:space="preserve">authority was one of a few </w:t>
            </w:r>
            <w:r w:rsidRPr="00E3673A">
              <w:rPr>
                <w:sz w:val="20"/>
                <w:szCs w:val="20"/>
              </w:rPr>
              <w:t>pilot</w:t>
            </w:r>
            <w:r w:rsidR="00D305D9" w:rsidRPr="00E3673A">
              <w:rPr>
                <w:sz w:val="20"/>
                <w:szCs w:val="20"/>
              </w:rPr>
              <w:t xml:space="preserve"> sites</w:t>
            </w:r>
            <w:r w:rsidRPr="00E3673A">
              <w:rPr>
                <w:sz w:val="20"/>
                <w:szCs w:val="20"/>
              </w:rPr>
              <w:t xml:space="preserve"> launch</w:t>
            </w:r>
            <w:r w:rsidR="009F6A82" w:rsidRPr="00E3673A">
              <w:rPr>
                <w:sz w:val="20"/>
                <w:szCs w:val="20"/>
              </w:rPr>
              <w:t>ed</w:t>
            </w:r>
            <w:r w:rsidRPr="00E3673A">
              <w:rPr>
                <w:sz w:val="20"/>
                <w:szCs w:val="20"/>
              </w:rPr>
              <w:t xml:space="preserve"> in April 2019 and whilst accessing Cifas data has undoubtedly added value to the</w:t>
            </w:r>
            <w:r w:rsidR="003F0667" w:rsidRPr="00E3673A">
              <w:rPr>
                <w:sz w:val="20"/>
                <w:szCs w:val="20"/>
              </w:rPr>
              <w:t xml:space="preserve"> CAFT investigations in terms of</w:t>
            </w:r>
            <w:r w:rsidRPr="00E3673A">
              <w:rPr>
                <w:sz w:val="20"/>
                <w:szCs w:val="20"/>
              </w:rPr>
              <w:t xml:space="preserve"> intelligence gathering, there have been some </w:t>
            </w:r>
            <w:r w:rsidR="00C04A80" w:rsidRPr="00E3673A">
              <w:rPr>
                <w:sz w:val="20"/>
                <w:szCs w:val="20"/>
              </w:rPr>
              <w:t>challenges around sharing data and ensuring that data subjects are made aware that the authority is working with Cifas</w:t>
            </w:r>
            <w:r w:rsidR="004C7241" w:rsidRPr="00E3673A">
              <w:rPr>
                <w:sz w:val="20"/>
                <w:szCs w:val="20"/>
              </w:rPr>
              <w:t>.</w:t>
            </w:r>
            <w:r w:rsidR="007A75AD" w:rsidRPr="00E3673A">
              <w:rPr>
                <w:sz w:val="20"/>
                <w:szCs w:val="20"/>
              </w:rPr>
              <w:t xml:space="preserve">  </w:t>
            </w:r>
          </w:p>
          <w:p w14:paraId="1E3A765A" w14:textId="77777777" w:rsidR="007A75AD" w:rsidRPr="00E3673A" w:rsidRDefault="007A75AD" w:rsidP="00EE6ACD">
            <w:pPr>
              <w:rPr>
                <w:sz w:val="20"/>
                <w:szCs w:val="20"/>
              </w:rPr>
            </w:pPr>
          </w:p>
          <w:p w14:paraId="43DB2E77" w14:textId="77777777" w:rsidR="00C04A80" w:rsidRPr="00E3673A" w:rsidRDefault="0038298B" w:rsidP="00EE6ACD">
            <w:pPr>
              <w:rPr>
                <w:sz w:val="20"/>
                <w:szCs w:val="20"/>
              </w:rPr>
            </w:pPr>
            <w:r w:rsidRPr="00E3673A">
              <w:rPr>
                <w:sz w:val="20"/>
                <w:szCs w:val="20"/>
              </w:rPr>
              <w:t xml:space="preserve">The CAFT is at present using the Cifas database to </w:t>
            </w:r>
            <w:r w:rsidR="007A75AD" w:rsidRPr="00E3673A">
              <w:rPr>
                <w:sz w:val="20"/>
                <w:szCs w:val="20"/>
              </w:rPr>
              <w:t>sift all cases that are referred</w:t>
            </w:r>
            <w:r w:rsidRPr="00E3673A">
              <w:rPr>
                <w:sz w:val="20"/>
                <w:szCs w:val="20"/>
              </w:rPr>
              <w:t xml:space="preserve"> </w:t>
            </w:r>
            <w:r w:rsidR="007A75AD" w:rsidRPr="00E3673A">
              <w:rPr>
                <w:sz w:val="20"/>
                <w:szCs w:val="20"/>
              </w:rPr>
              <w:t xml:space="preserve">for investigation </w:t>
            </w:r>
            <w:r w:rsidRPr="00E3673A">
              <w:rPr>
                <w:sz w:val="20"/>
                <w:szCs w:val="20"/>
              </w:rPr>
              <w:t xml:space="preserve">(reactive) but the intention is to use the database more proactively and </w:t>
            </w:r>
            <w:r w:rsidR="007A75AD" w:rsidRPr="00E3673A">
              <w:rPr>
                <w:sz w:val="20"/>
                <w:szCs w:val="20"/>
              </w:rPr>
              <w:t xml:space="preserve">a) </w:t>
            </w:r>
            <w:r w:rsidRPr="00E3673A">
              <w:rPr>
                <w:sz w:val="20"/>
                <w:szCs w:val="20"/>
              </w:rPr>
              <w:t xml:space="preserve">batch match sets of data on a risk basis to target </w:t>
            </w:r>
            <w:r w:rsidR="007A75AD" w:rsidRPr="00E3673A">
              <w:rPr>
                <w:sz w:val="20"/>
                <w:szCs w:val="20"/>
              </w:rPr>
              <w:t xml:space="preserve">areas of high fraud risk and b) to expand the access to Cifas to other services in the authority.  Discussions </w:t>
            </w:r>
            <w:r w:rsidR="00FF0FCC" w:rsidRPr="00E3673A">
              <w:rPr>
                <w:sz w:val="20"/>
                <w:szCs w:val="20"/>
              </w:rPr>
              <w:t>were</w:t>
            </w:r>
            <w:r w:rsidR="007A75AD" w:rsidRPr="00E3673A">
              <w:rPr>
                <w:sz w:val="20"/>
                <w:szCs w:val="20"/>
              </w:rPr>
              <w:t xml:space="preserve"> well advanced with both Insurance and Procurement </w:t>
            </w:r>
            <w:r w:rsidR="00FF0FCC" w:rsidRPr="00E3673A">
              <w:rPr>
                <w:sz w:val="20"/>
                <w:szCs w:val="20"/>
              </w:rPr>
              <w:t>services at the end of the year, but this has since stalled due to the Covid-19 emergency.  The expansion of the Cifas system internally will be continued in the 2020-21 plan.</w:t>
            </w:r>
            <w:r w:rsidR="007A75AD" w:rsidRPr="00E3673A">
              <w:rPr>
                <w:sz w:val="20"/>
                <w:szCs w:val="20"/>
              </w:rPr>
              <w:t xml:space="preserve"> </w:t>
            </w:r>
            <w:r w:rsidRPr="00E3673A">
              <w:rPr>
                <w:sz w:val="20"/>
                <w:szCs w:val="20"/>
              </w:rPr>
              <w:t xml:space="preserve">    </w:t>
            </w:r>
            <w:r w:rsidR="004C7241" w:rsidRPr="00E3673A">
              <w:rPr>
                <w:sz w:val="20"/>
                <w:szCs w:val="20"/>
              </w:rPr>
              <w:t xml:space="preserve">  </w:t>
            </w:r>
          </w:p>
          <w:p w14:paraId="4A9267EB" w14:textId="77777777" w:rsidR="00554FB3" w:rsidRPr="00E3673A" w:rsidRDefault="00554FB3" w:rsidP="00EE6ACD">
            <w:pPr>
              <w:rPr>
                <w:sz w:val="20"/>
                <w:szCs w:val="20"/>
              </w:rPr>
            </w:pPr>
          </w:p>
          <w:p w14:paraId="6DA9704B" w14:textId="77777777" w:rsidR="00C60861" w:rsidRPr="00E3673A" w:rsidRDefault="00554FB3" w:rsidP="00EE6ACD">
            <w:pPr>
              <w:rPr>
                <w:sz w:val="20"/>
                <w:szCs w:val="20"/>
              </w:rPr>
            </w:pPr>
            <w:r w:rsidRPr="00E3673A">
              <w:rPr>
                <w:sz w:val="20"/>
                <w:szCs w:val="20"/>
              </w:rPr>
              <w:t xml:space="preserve">Given the </w:t>
            </w:r>
            <w:r w:rsidR="00C60861" w:rsidRPr="00E3673A">
              <w:rPr>
                <w:sz w:val="20"/>
                <w:szCs w:val="20"/>
              </w:rPr>
              <w:t>long lead in time and nature of fraud investigation work, a decision was made by the pilot authorities and Cifas that the initial pilot perio</w:t>
            </w:r>
            <w:r w:rsidR="007A75AD" w:rsidRPr="00E3673A">
              <w:rPr>
                <w:sz w:val="20"/>
                <w:szCs w:val="20"/>
              </w:rPr>
              <w:t xml:space="preserve">d would be extended to </w:t>
            </w:r>
            <w:r w:rsidR="00FF0FCC" w:rsidRPr="00E3673A">
              <w:rPr>
                <w:sz w:val="20"/>
                <w:szCs w:val="20"/>
              </w:rPr>
              <w:t>March</w:t>
            </w:r>
            <w:r w:rsidR="007A75AD" w:rsidRPr="00E3673A">
              <w:rPr>
                <w:sz w:val="20"/>
                <w:szCs w:val="20"/>
              </w:rPr>
              <w:t xml:space="preserve"> 202</w:t>
            </w:r>
            <w:r w:rsidR="00FF0FCC" w:rsidRPr="00E3673A">
              <w:rPr>
                <w:sz w:val="20"/>
                <w:szCs w:val="20"/>
              </w:rPr>
              <w:t>1</w:t>
            </w:r>
            <w:r w:rsidR="00C60861" w:rsidRPr="00E3673A">
              <w:rPr>
                <w:sz w:val="20"/>
                <w:szCs w:val="20"/>
              </w:rPr>
              <w:t xml:space="preserve"> to allow a greater opportunity of casework throughput</w:t>
            </w:r>
            <w:r w:rsidR="00336634" w:rsidRPr="00E3673A">
              <w:rPr>
                <w:sz w:val="20"/>
                <w:szCs w:val="20"/>
              </w:rPr>
              <w:t xml:space="preserve"> and for</w:t>
            </w:r>
            <w:r w:rsidR="00646321" w:rsidRPr="00E3673A">
              <w:rPr>
                <w:sz w:val="20"/>
                <w:szCs w:val="20"/>
              </w:rPr>
              <w:t xml:space="preserve"> positive outcomes</w:t>
            </w:r>
            <w:r w:rsidR="00336634" w:rsidRPr="00E3673A">
              <w:rPr>
                <w:sz w:val="20"/>
                <w:szCs w:val="20"/>
              </w:rPr>
              <w:t xml:space="preserve"> to be identified</w:t>
            </w:r>
            <w:r w:rsidR="00C60861" w:rsidRPr="00E3673A">
              <w:rPr>
                <w:sz w:val="20"/>
                <w:szCs w:val="20"/>
              </w:rPr>
              <w:t>.</w:t>
            </w:r>
          </w:p>
          <w:p w14:paraId="1845E9DB" w14:textId="77777777" w:rsidR="00FF0FCC" w:rsidRPr="00E3673A" w:rsidRDefault="00FF0FCC" w:rsidP="00EE6ACD">
            <w:pPr>
              <w:rPr>
                <w:sz w:val="20"/>
                <w:szCs w:val="20"/>
              </w:rPr>
            </w:pPr>
          </w:p>
          <w:p w14:paraId="4D292CBB" w14:textId="77777777" w:rsidR="00FF0FCC" w:rsidRPr="00E3673A" w:rsidRDefault="00FF0FCC" w:rsidP="00EE6ACD">
            <w:pPr>
              <w:rPr>
                <w:sz w:val="20"/>
                <w:szCs w:val="20"/>
              </w:rPr>
            </w:pPr>
          </w:p>
          <w:p w14:paraId="3FA5E849" w14:textId="77777777" w:rsidR="00FF0FCC" w:rsidRPr="00E3673A" w:rsidRDefault="00FF0FCC" w:rsidP="00EE6ACD">
            <w:pPr>
              <w:rPr>
                <w:sz w:val="20"/>
                <w:szCs w:val="20"/>
              </w:rPr>
            </w:pPr>
          </w:p>
          <w:p w14:paraId="33049C64" w14:textId="77777777" w:rsidR="00887E43" w:rsidRPr="00E3673A" w:rsidRDefault="007A75AD" w:rsidP="00EE6ACD">
            <w:pPr>
              <w:rPr>
                <w:sz w:val="20"/>
                <w:szCs w:val="20"/>
              </w:rPr>
            </w:pPr>
            <w:r w:rsidRPr="00E3673A">
              <w:rPr>
                <w:sz w:val="20"/>
                <w:szCs w:val="20"/>
              </w:rPr>
              <w:t xml:space="preserve"> </w:t>
            </w:r>
          </w:p>
          <w:p w14:paraId="6D295B09" w14:textId="77777777" w:rsidR="00CB6441" w:rsidRPr="00E3673A" w:rsidRDefault="00CB6441" w:rsidP="00EE6ACD">
            <w:pPr>
              <w:rPr>
                <w:sz w:val="20"/>
                <w:szCs w:val="20"/>
              </w:rPr>
            </w:pPr>
          </w:p>
          <w:p w14:paraId="5ACD1701" w14:textId="52F070EF" w:rsidR="00CB6441" w:rsidRPr="00E3673A" w:rsidRDefault="00CB6441" w:rsidP="00EE6ACD">
            <w:pPr>
              <w:rPr>
                <w:sz w:val="20"/>
                <w:szCs w:val="20"/>
              </w:rPr>
            </w:pPr>
          </w:p>
        </w:tc>
      </w:tr>
      <w:tr w:rsidR="0017605D" w:rsidRPr="0075312F" w14:paraId="655FD805"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3B178854" w14:textId="77777777" w:rsidR="0017605D" w:rsidRPr="0075312F" w:rsidRDefault="00646827" w:rsidP="007816FE">
            <w:pPr>
              <w:rPr>
                <w:sz w:val="20"/>
                <w:szCs w:val="20"/>
                <w:lang w:val="en-US"/>
              </w:rPr>
            </w:pPr>
            <w:r>
              <w:rPr>
                <w:sz w:val="20"/>
                <w:szCs w:val="20"/>
                <w:lang w:val="en-US"/>
              </w:rPr>
              <w:lastRenderedPageBreak/>
              <w:t>9</w:t>
            </w:r>
            <w:r w:rsidR="0017605D">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10D5E3F9" w14:textId="77777777" w:rsidR="0017605D" w:rsidRPr="007C6042" w:rsidRDefault="0017605D" w:rsidP="007816FE">
            <w:pPr>
              <w:rPr>
                <w:b/>
                <w:sz w:val="20"/>
                <w:szCs w:val="20"/>
                <w:lang w:val="en-US"/>
              </w:rPr>
            </w:pPr>
            <w:r w:rsidRPr="007C6042">
              <w:rPr>
                <w:b/>
                <w:sz w:val="20"/>
                <w:szCs w:val="20"/>
                <w:lang w:val="en-US"/>
              </w:rPr>
              <w:t>Corporate anti-fraud awareness</w:t>
            </w:r>
          </w:p>
          <w:p w14:paraId="789778AF" w14:textId="77777777" w:rsidR="0017605D" w:rsidRPr="007C6042" w:rsidRDefault="0017605D" w:rsidP="007816FE">
            <w:pPr>
              <w:rPr>
                <w:b/>
                <w:sz w:val="20"/>
                <w:szCs w:val="20"/>
                <w:lang w:val="en-US"/>
              </w:rPr>
            </w:pPr>
          </w:p>
          <w:p w14:paraId="65FDB860" w14:textId="77777777" w:rsidR="0017605D" w:rsidRPr="007C6042" w:rsidRDefault="0017605D" w:rsidP="008A65C3">
            <w:pPr>
              <w:rPr>
                <w:sz w:val="20"/>
                <w:szCs w:val="20"/>
                <w:lang w:val="en-US"/>
              </w:rPr>
            </w:pPr>
            <w:r w:rsidRPr="007C6042">
              <w:rPr>
                <w:sz w:val="20"/>
                <w:szCs w:val="20"/>
                <w:lang w:val="en-US"/>
              </w:rPr>
              <w:t xml:space="preserve">Raise awareness of fraud and corruption risks both within the authority and in the community through the publication of fraud successes in local and national media, including the use of all forms of social media including the following actions:-   </w:t>
            </w:r>
          </w:p>
          <w:p w14:paraId="51971CCE" w14:textId="77777777" w:rsidR="0017605D" w:rsidRPr="007C6042" w:rsidRDefault="0017605D" w:rsidP="008A65C3">
            <w:pPr>
              <w:rPr>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3456"/>
              <w:gridCol w:w="3456"/>
            </w:tblGrid>
            <w:tr w:rsidR="0017605D" w:rsidRPr="007C6042" w14:paraId="5B8FD25F" w14:textId="77777777">
              <w:trPr>
                <w:trHeight w:val="1156"/>
              </w:trPr>
              <w:tc>
                <w:tcPr>
                  <w:tcW w:w="3456" w:type="dxa"/>
                </w:tcPr>
                <w:p w14:paraId="2D38F430" w14:textId="77777777" w:rsidR="0017605D" w:rsidRPr="007C6042" w:rsidRDefault="0017605D" w:rsidP="007877A0">
                  <w:pPr>
                    <w:autoSpaceDE w:val="0"/>
                    <w:autoSpaceDN w:val="0"/>
                    <w:adjustRightInd w:val="0"/>
                    <w:rPr>
                      <w:rFonts w:eastAsia="Calibri"/>
                      <w:lang w:eastAsia="en-GB"/>
                    </w:rPr>
                  </w:pPr>
                </w:p>
                <w:p w14:paraId="7CFC97BF" w14:textId="77777777" w:rsidR="00646827" w:rsidRDefault="00646827" w:rsidP="001B5862">
                  <w:pPr>
                    <w:pStyle w:val="Default"/>
                    <w:numPr>
                      <w:ilvl w:val="0"/>
                      <w:numId w:val="23"/>
                    </w:numPr>
                    <w:rPr>
                      <w:sz w:val="20"/>
                      <w:szCs w:val="20"/>
                    </w:rPr>
                  </w:pPr>
                  <w:r>
                    <w:rPr>
                      <w:sz w:val="20"/>
                      <w:szCs w:val="20"/>
                    </w:rPr>
                    <w:t xml:space="preserve">Embed fraud E-learning to existing employees </w:t>
                  </w:r>
                </w:p>
                <w:p w14:paraId="01567114" w14:textId="77777777" w:rsidR="00646827" w:rsidRDefault="00646827" w:rsidP="00646827">
                  <w:pPr>
                    <w:pStyle w:val="Default"/>
                    <w:rPr>
                      <w:sz w:val="20"/>
                      <w:szCs w:val="20"/>
                    </w:rPr>
                  </w:pPr>
                </w:p>
                <w:p w14:paraId="6C3CB4F3" w14:textId="77777777" w:rsidR="00646827" w:rsidRDefault="00646827" w:rsidP="001B5862">
                  <w:pPr>
                    <w:pStyle w:val="Default"/>
                    <w:numPr>
                      <w:ilvl w:val="0"/>
                      <w:numId w:val="23"/>
                    </w:numPr>
                    <w:rPr>
                      <w:sz w:val="20"/>
                      <w:szCs w:val="20"/>
                    </w:rPr>
                  </w:pPr>
                  <w:r>
                    <w:rPr>
                      <w:sz w:val="20"/>
                      <w:szCs w:val="20"/>
                    </w:rPr>
                    <w:t xml:space="preserve">Chief Executive Newsletters and general internal communications bulletins in relation to articles on fraud and corruption </w:t>
                  </w:r>
                </w:p>
                <w:p w14:paraId="6FF6C051" w14:textId="77777777" w:rsidR="00646827" w:rsidRDefault="00646827" w:rsidP="00646827">
                  <w:pPr>
                    <w:pStyle w:val="Default"/>
                    <w:rPr>
                      <w:sz w:val="20"/>
                      <w:szCs w:val="20"/>
                    </w:rPr>
                  </w:pPr>
                </w:p>
                <w:p w14:paraId="683CDA56" w14:textId="77777777" w:rsidR="00646827" w:rsidRDefault="00646827" w:rsidP="001B5862">
                  <w:pPr>
                    <w:pStyle w:val="Default"/>
                    <w:numPr>
                      <w:ilvl w:val="0"/>
                      <w:numId w:val="23"/>
                    </w:numPr>
                    <w:rPr>
                      <w:sz w:val="20"/>
                      <w:szCs w:val="20"/>
                    </w:rPr>
                  </w:pPr>
                  <w:r>
                    <w:rPr>
                      <w:sz w:val="20"/>
                      <w:szCs w:val="20"/>
                    </w:rPr>
                    <w:t xml:space="preserve">Issuing management reports detailing investigation outcomes and recommendations for improving fraud risk controls are implemented if agreed according to risk (KPI5) </w:t>
                  </w:r>
                </w:p>
                <w:p w14:paraId="0190F947" w14:textId="77777777" w:rsidR="00646827" w:rsidRDefault="00646827" w:rsidP="00646827">
                  <w:pPr>
                    <w:pStyle w:val="Default"/>
                    <w:rPr>
                      <w:sz w:val="20"/>
                      <w:szCs w:val="20"/>
                    </w:rPr>
                  </w:pPr>
                </w:p>
                <w:p w14:paraId="31B7B8B7" w14:textId="77777777" w:rsidR="00646827" w:rsidRDefault="00646827" w:rsidP="001B5862">
                  <w:pPr>
                    <w:pStyle w:val="Default"/>
                    <w:numPr>
                      <w:ilvl w:val="0"/>
                      <w:numId w:val="23"/>
                    </w:numPr>
                    <w:rPr>
                      <w:sz w:val="20"/>
                      <w:szCs w:val="20"/>
                    </w:rPr>
                  </w:pPr>
                  <w:r>
                    <w:rPr>
                      <w:sz w:val="20"/>
                      <w:szCs w:val="20"/>
                    </w:rPr>
                    <w:t xml:space="preserve">Deliver fraud workshops/CAFT attendance at team meetings for high fraud risk areas as appropriate </w:t>
                  </w:r>
                </w:p>
                <w:p w14:paraId="7036067E" w14:textId="77777777" w:rsidR="00646827" w:rsidRDefault="00646827" w:rsidP="00646827">
                  <w:pPr>
                    <w:pStyle w:val="Default"/>
                    <w:rPr>
                      <w:sz w:val="20"/>
                      <w:szCs w:val="20"/>
                    </w:rPr>
                  </w:pPr>
                </w:p>
                <w:p w14:paraId="63A3F616" w14:textId="77777777" w:rsidR="00646827" w:rsidRDefault="00646827" w:rsidP="001B5862">
                  <w:pPr>
                    <w:pStyle w:val="Default"/>
                    <w:numPr>
                      <w:ilvl w:val="0"/>
                      <w:numId w:val="23"/>
                    </w:numPr>
                    <w:rPr>
                      <w:sz w:val="20"/>
                      <w:szCs w:val="20"/>
                    </w:rPr>
                  </w:pPr>
                  <w:r>
                    <w:rPr>
                      <w:sz w:val="20"/>
                      <w:szCs w:val="20"/>
                    </w:rPr>
                    <w:t xml:space="preserve">Publicity through all forms of media on successful fraud cases, fraud initiatives and related prosecution outcomes </w:t>
                  </w:r>
                </w:p>
                <w:p w14:paraId="24249837" w14:textId="77777777" w:rsidR="0017605D" w:rsidRPr="007C6042" w:rsidRDefault="0017605D" w:rsidP="001B5862">
                  <w:pPr>
                    <w:autoSpaceDE w:val="0"/>
                    <w:autoSpaceDN w:val="0"/>
                    <w:adjustRightInd w:val="0"/>
                    <w:ind w:left="360"/>
                    <w:rPr>
                      <w:rFonts w:eastAsia="Calibri"/>
                      <w:color w:val="000000"/>
                      <w:sz w:val="20"/>
                      <w:szCs w:val="20"/>
                      <w:lang w:eastAsia="en-GB"/>
                    </w:rPr>
                  </w:pPr>
                </w:p>
              </w:tc>
              <w:tc>
                <w:tcPr>
                  <w:tcW w:w="3456" w:type="dxa"/>
                </w:tcPr>
                <w:p w14:paraId="2AF030E0" w14:textId="77777777" w:rsidR="0017605D" w:rsidRPr="007C6042" w:rsidRDefault="0017605D" w:rsidP="007877A0">
                  <w:pPr>
                    <w:autoSpaceDE w:val="0"/>
                    <w:autoSpaceDN w:val="0"/>
                    <w:adjustRightInd w:val="0"/>
                    <w:rPr>
                      <w:rFonts w:eastAsia="Calibri"/>
                      <w:color w:val="000000"/>
                      <w:sz w:val="20"/>
                      <w:szCs w:val="20"/>
                      <w:lang w:eastAsia="en-GB"/>
                    </w:rPr>
                  </w:pPr>
                </w:p>
              </w:tc>
            </w:tr>
          </w:tbl>
          <w:p w14:paraId="37866DEA" w14:textId="77777777" w:rsidR="0017605D" w:rsidRPr="007C6042" w:rsidRDefault="0017605D" w:rsidP="007877A0">
            <w:pPr>
              <w:rPr>
                <w:b/>
                <w:sz w:val="20"/>
                <w:szCs w:val="20"/>
                <w:lang w:val="en-US"/>
              </w:rPr>
            </w:pPr>
          </w:p>
        </w:tc>
        <w:tc>
          <w:tcPr>
            <w:tcW w:w="8646" w:type="dxa"/>
            <w:tcBorders>
              <w:top w:val="single" w:sz="4" w:space="0" w:color="auto"/>
              <w:left w:val="nil"/>
              <w:bottom w:val="single" w:sz="4" w:space="0" w:color="auto"/>
              <w:right w:val="single" w:sz="4" w:space="0" w:color="auto"/>
            </w:tcBorders>
            <w:shd w:val="clear" w:color="auto" w:fill="auto"/>
          </w:tcPr>
          <w:p w14:paraId="406783C0" w14:textId="6EA2E1C8" w:rsidR="0017605D" w:rsidRPr="00B12EC9" w:rsidRDefault="00AB098A" w:rsidP="007877A0">
            <w:pPr>
              <w:rPr>
                <w:sz w:val="20"/>
                <w:szCs w:val="20"/>
                <w:lang w:val="en-US"/>
              </w:rPr>
            </w:pPr>
            <w:r w:rsidRPr="00B12EC9">
              <w:rPr>
                <w:b/>
                <w:sz w:val="20"/>
                <w:szCs w:val="20"/>
              </w:rPr>
              <w:t xml:space="preserve">Objective </w:t>
            </w:r>
            <w:r w:rsidR="00CD48B8" w:rsidRPr="00B12EC9">
              <w:rPr>
                <w:b/>
                <w:sz w:val="20"/>
                <w:szCs w:val="20"/>
              </w:rPr>
              <w:t>partially achieved</w:t>
            </w:r>
          </w:p>
          <w:p w14:paraId="5E36220F" w14:textId="77777777" w:rsidR="001B5862" w:rsidRPr="00B12EC9" w:rsidRDefault="001B5862" w:rsidP="007877A0">
            <w:pPr>
              <w:rPr>
                <w:sz w:val="20"/>
                <w:szCs w:val="20"/>
                <w:lang w:val="en-US"/>
              </w:rPr>
            </w:pPr>
          </w:p>
          <w:p w14:paraId="5DC573F6" w14:textId="77777777" w:rsidR="001B5862" w:rsidRPr="00B12EC9" w:rsidRDefault="001B5862" w:rsidP="007877A0">
            <w:pPr>
              <w:rPr>
                <w:sz w:val="20"/>
                <w:szCs w:val="20"/>
                <w:lang w:val="en-US"/>
              </w:rPr>
            </w:pPr>
          </w:p>
          <w:p w14:paraId="7AFE8E63" w14:textId="77777777" w:rsidR="001B5862" w:rsidRPr="00B12EC9" w:rsidRDefault="001B5862" w:rsidP="007877A0">
            <w:pPr>
              <w:rPr>
                <w:sz w:val="20"/>
                <w:szCs w:val="20"/>
                <w:lang w:val="en-US"/>
              </w:rPr>
            </w:pPr>
          </w:p>
          <w:p w14:paraId="12A96CFF" w14:textId="77777777" w:rsidR="001B5862" w:rsidRPr="00B12EC9" w:rsidRDefault="001B5862" w:rsidP="007877A0">
            <w:pPr>
              <w:rPr>
                <w:sz w:val="20"/>
                <w:szCs w:val="20"/>
                <w:lang w:val="en-US"/>
              </w:rPr>
            </w:pPr>
          </w:p>
          <w:p w14:paraId="08C71E06" w14:textId="77777777" w:rsidR="001B5862" w:rsidRPr="00B12EC9" w:rsidRDefault="001B5862" w:rsidP="007877A0">
            <w:pPr>
              <w:rPr>
                <w:sz w:val="20"/>
                <w:szCs w:val="20"/>
                <w:lang w:val="en-US"/>
              </w:rPr>
            </w:pPr>
          </w:p>
          <w:p w14:paraId="59D7862C" w14:textId="77777777" w:rsidR="001B5862" w:rsidRPr="00B12EC9" w:rsidRDefault="001B5862" w:rsidP="007877A0">
            <w:pPr>
              <w:rPr>
                <w:sz w:val="20"/>
                <w:szCs w:val="20"/>
                <w:lang w:val="en-US"/>
              </w:rPr>
            </w:pPr>
          </w:p>
          <w:p w14:paraId="3C433674" w14:textId="77777777" w:rsidR="001B5862" w:rsidRPr="00B12EC9" w:rsidRDefault="001B5862" w:rsidP="007877A0">
            <w:pPr>
              <w:rPr>
                <w:sz w:val="20"/>
                <w:szCs w:val="20"/>
                <w:lang w:val="en-US"/>
              </w:rPr>
            </w:pPr>
          </w:p>
          <w:p w14:paraId="798CCC44" w14:textId="77777777" w:rsidR="001B5862" w:rsidRPr="00B12EC9" w:rsidRDefault="001B5862" w:rsidP="007877A0">
            <w:pPr>
              <w:rPr>
                <w:sz w:val="20"/>
                <w:szCs w:val="20"/>
                <w:lang w:val="en-US"/>
              </w:rPr>
            </w:pPr>
          </w:p>
          <w:p w14:paraId="29853B86" w14:textId="77777777" w:rsidR="001B5862" w:rsidRPr="00B12EC9" w:rsidRDefault="001B5862" w:rsidP="007877A0">
            <w:pPr>
              <w:rPr>
                <w:sz w:val="20"/>
                <w:szCs w:val="20"/>
                <w:lang w:val="en-US"/>
              </w:rPr>
            </w:pPr>
          </w:p>
          <w:p w14:paraId="231490BE" w14:textId="77777777" w:rsidR="00AB021E" w:rsidRDefault="00AB021E" w:rsidP="007877A0">
            <w:pPr>
              <w:rPr>
                <w:b/>
                <w:sz w:val="20"/>
                <w:szCs w:val="20"/>
                <w:lang w:val="en-US"/>
              </w:rPr>
            </w:pPr>
          </w:p>
          <w:p w14:paraId="77495007" w14:textId="4FEF1C11" w:rsidR="00915505" w:rsidRPr="00B12EC9" w:rsidRDefault="00915505" w:rsidP="007877A0">
            <w:pPr>
              <w:rPr>
                <w:b/>
                <w:sz w:val="20"/>
                <w:szCs w:val="20"/>
                <w:lang w:val="en-US"/>
              </w:rPr>
            </w:pPr>
            <w:r w:rsidRPr="00B12EC9">
              <w:rPr>
                <w:b/>
                <w:sz w:val="20"/>
                <w:szCs w:val="20"/>
                <w:lang w:val="en-US"/>
              </w:rPr>
              <w:t>E-learning</w:t>
            </w:r>
          </w:p>
          <w:p w14:paraId="52902044" w14:textId="1B65986A" w:rsidR="00915505" w:rsidRPr="00B12EC9" w:rsidRDefault="0017605D" w:rsidP="007877A0">
            <w:pPr>
              <w:rPr>
                <w:sz w:val="20"/>
                <w:szCs w:val="20"/>
                <w:lang w:val="en-US"/>
              </w:rPr>
            </w:pPr>
            <w:r w:rsidRPr="00B12EC9">
              <w:rPr>
                <w:sz w:val="20"/>
                <w:szCs w:val="20"/>
                <w:lang w:val="en-US"/>
              </w:rPr>
              <w:t xml:space="preserve">The </w:t>
            </w:r>
            <w:r w:rsidR="00904E47" w:rsidRPr="00B12EC9">
              <w:rPr>
                <w:sz w:val="20"/>
                <w:szCs w:val="20"/>
                <w:lang w:val="en-US"/>
              </w:rPr>
              <w:t xml:space="preserve">fraud </w:t>
            </w:r>
            <w:r w:rsidRPr="00B12EC9">
              <w:rPr>
                <w:sz w:val="20"/>
                <w:szCs w:val="20"/>
                <w:lang w:val="en-US"/>
              </w:rPr>
              <w:t xml:space="preserve">e-learning </w:t>
            </w:r>
            <w:r w:rsidR="00AB021E">
              <w:rPr>
                <w:sz w:val="20"/>
                <w:szCs w:val="20"/>
                <w:lang w:val="en-US"/>
              </w:rPr>
              <w:t xml:space="preserve">package has been heavily promoted through internal communications and the course content has recently been updated to reflect current fraud risks facing Local Authorities.  </w:t>
            </w:r>
          </w:p>
          <w:p w14:paraId="7E32B720" w14:textId="77777777" w:rsidR="00915505" w:rsidRPr="00B12EC9" w:rsidRDefault="00915505" w:rsidP="007877A0">
            <w:pPr>
              <w:rPr>
                <w:sz w:val="20"/>
                <w:szCs w:val="20"/>
                <w:lang w:val="en-US"/>
              </w:rPr>
            </w:pPr>
          </w:p>
          <w:p w14:paraId="7AA85270" w14:textId="77777777" w:rsidR="00915505" w:rsidRPr="00B12EC9" w:rsidRDefault="00915505" w:rsidP="007877A0">
            <w:pPr>
              <w:rPr>
                <w:b/>
                <w:sz w:val="20"/>
                <w:szCs w:val="20"/>
                <w:lang w:val="en-US"/>
              </w:rPr>
            </w:pPr>
            <w:r w:rsidRPr="00B12EC9">
              <w:rPr>
                <w:b/>
                <w:sz w:val="20"/>
                <w:szCs w:val="20"/>
                <w:lang w:val="en-US"/>
              </w:rPr>
              <w:t>Chief Executive Newsletters</w:t>
            </w:r>
          </w:p>
          <w:p w14:paraId="266F90CB" w14:textId="77777777" w:rsidR="0017605D" w:rsidRPr="00B12EC9" w:rsidRDefault="00904E47" w:rsidP="007877A0">
            <w:pPr>
              <w:rPr>
                <w:sz w:val="20"/>
                <w:szCs w:val="20"/>
                <w:lang w:val="en-US"/>
              </w:rPr>
            </w:pPr>
            <w:r w:rsidRPr="00B12EC9">
              <w:rPr>
                <w:sz w:val="20"/>
                <w:szCs w:val="20"/>
                <w:lang w:val="en-US"/>
              </w:rPr>
              <w:t>There have been no Chief Executive Newsletters</w:t>
            </w:r>
            <w:r w:rsidR="008F461C" w:rsidRPr="00B12EC9">
              <w:rPr>
                <w:sz w:val="20"/>
                <w:szCs w:val="20"/>
                <w:lang w:val="en-US"/>
              </w:rPr>
              <w:t>, internal communications or bulleti</w:t>
            </w:r>
            <w:r w:rsidR="00336634" w:rsidRPr="00B12EC9">
              <w:rPr>
                <w:sz w:val="20"/>
                <w:szCs w:val="20"/>
                <w:lang w:val="en-US"/>
              </w:rPr>
              <w:t xml:space="preserve">ns in relation to fraud articles up to </w:t>
            </w:r>
            <w:r w:rsidR="00DA0218" w:rsidRPr="00B12EC9">
              <w:rPr>
                <w:sz w:val="20"/>
                <w:szCs w:val="20"/>
                <w:lang w:val="en-US"/>
              </w:rPr>
              <w:t>the mid-year point</w:t>
            </w:r>
            <w:r w:rsidRPr="00B12EC9">
              <w:rPr>
                <w:sz w:val="20"/>
                <w:szCs w:val="20"/>
                <w:lang w:val="en-US"/>
              </w:rPr>
              <w:t xml:space="preserve">.   </w:t>
            </w:r>
          </w:p>
          <w:p w14:paraId="21128A33" w14:textId="77777777" w:rsidR="0017605D" w:rsidRPr="00B12EC9" w:rsidRDefault="0017605D" w:rsidP="007877A0">
            <w:pPr>
              <w:rPr>
                <w:sz w:val="20"/>
                <w:szCs w:val="20"/>
                <w:lang w:val="en-US"/>
              </w:rPr>
            </w:pPr>
          </w:p>
          <w:p w14:paraId="5F4C80D2" w14:textId="77777777" w:rsidR="00915505" w:rsidRPr="00B12EC9" w:rsidRDefault="00915505" w:rsidP="00915505">
            <w:pPr>
              <w:rPr>
                <w:b/>
                <w:sz w:val="20"/>
                <w:szCs w:val="20"/>
                <w:lang w:val="en-US"/>
              </w:rPr>
            </w:pPr>
            <w:r w:rsidRPr="00B12EC9">
              <w:rPr>
                <w:b/>
                <w:sz w:val="20"/>
                <w:szCs w:val="20"/>
                <w:lang w:val="en-US"/>
              </w:rPr>
              <w:t>Management reports and briefing notes</w:t>
            </w:r>
          </w:p>
          <w:p w14:paraId="14F6DE45" w14:textId="2A8630B6" w:rsidR="00915505" w:rsidRPr="00B12EC9" w:rsidRDefault="00915505" w:rsidP="00915505">
            <w:pPr>
              <w:rPr>
                <w:sz w:val="20"/>
                <w:szCs w:val="20"/>
                <w:lang w:val="en-US"/>
              </w:rPr>
            </w:pPr>
            <w:r w:rsidRPr="00B12EC9">
              <w:rPr>
                <w:sz w:val="20"/>
                <w:szCs w:val="20"/>
                <w:lang w:val="en-US"/>
              </w:rPr>
              <w:t>In</w:t>
            </w:r>
            <w:r w:rsidRPr="00B12EC9">
              <w:rPr>
                <w:b/>
                <w:sz w:val="20"/>
                <w:szCs w:val="20"/>
                <w:lang w:val="en-US"/>
              </w:rPr>
              <w:t xml:space="preserve"> </w:t>
            </w:r>
            <w:r w:rsidRPr="00B12EC9">
              <w:rPr>
                <w:sz w:val="20"/>
                <w:szCs w:val="20"/>
                <w:lang w:val="en-US"/>
              </w:rPr>
              <w:t xml:space="preserve">total, </w:t>
            </w:r>
            <w:r w:rsidR="00CD48B8" w:rsidRPr="00B12EC9">
              <w:rPr>
                <w:sz w:val="20"/>
                <w:szCs w:val="20"/>
                <w:lang w:val="en-US"/>
              </w:rPr>
              <w:t>27</w:t>
            </w:r>
            <w:r w:rsidRPr="00B12EC9">
              <w:rPr>
                <w:sz w:val="20"/>
                <w:szCs w:val="20"/>
                <w:lang w:val="en-US"/>
              </w:rPr>
              <w:t xml:space="preserve"> fraud risk recommendations contained within investigation reports</w:t>
            </w:r>
            <w:r w:rsidR="00CD48B8" w:rsidRPr="00B12EC9">
              <w:rPr>
                <w:sz w:val="20"/>
                <w:szCs w:val="20"/>
                <w:lang w:val="en-US"/>
              </w:rPr>
              <w:t xml:space="preserve"> and </w:t>
            </w:r>
            <w:r w:rsidRPr="00B12EC9">
              <w:rPr>
                <w:sz w:val="20"/>
                <w:szCs w:val="20"/>
                <w:lang w:val="en-US"/>
              </w:rPr>
              <w:t xml:space="preserve">briefing notes have been made to management with </w:t>
            </w:r>
            <w:r w:rsidR="00CD48B8" w:rsidRPr="00B12EC9">
              <w:rPr>
                <w:sz w:val="20"/>
                <w:szCs w:val="20"/>
                <w:lang w:val="en-US"/>
              </w:rPr>
              <w:t>26</w:t>
            </w:r>
            <w:r w:rsidRPr="00B12EC9">
              <w:rPr>
                <w:sz w:val="20"/>
                <w:szCs w:val="20"/>
                <w:lang w:val="en-US"/>
              </w:rPr>
              <w:t xml:space="preserve"> being agreed for implementation.  </w:t>
            </w:r>
          </w:p>
          <w:p w14:paraId="5DB9B8B5" w14:textId="17725C98" w:rsidR="00FC2E67" w:rsidRPr="00B12EC9" w:rsidRDefault="00FC2E67" w:rsidP="00FC2E67">
            <w:pPr>
              <w:rPr>
                <w:b/>
                <w:sz w:val="20"/>
                <w:szCs w:val="20"/>
                <w:lang w:val="en-US"/>
              </w:rPr>
            </w:pPr>
            <w:r w:rsidRPr="00B12EC9">
              <w:rPr>
                <w:b/>
                <w:sz w:val="20"/>
                <w:szCs w:val="20"/>
              </w:rPr>
              <w:t>KPI</w:t>
            </w:r>
            <w:r w:rsidR="00A31D7E" w:rsidRPr="00B12EC9">
              <w:rPr>
                <w:b/>
                <w:sz w:val="20"/>
                <w:szCs w:val="20"/>
              </w:rPr>
              <w:t>5 target 70%, achiev</w:t>
            </w:r>
            <w:r w:rsidR="00CD48B8" w:rsidRPr="00B12EC9">
              <w:rPr>
                <w:b/>
                <w:sz w:val="20"/>
                <w:szCs w:val="20"/>
              </w:rPr>
              <w:t>ed</w:t>
            </w:r>
            <w:r w:rsidRPr="00B12EC9">
              <w:rPr>
                <w:b/>
                <w:sz w:val="20"/>
                <w:szCs w:val="20"/>
              </w:rPr>
              <w:t xml:space="preserve"> 9</w:t>
            </w:r>
            <w:r w:rsidR="00CD48B8" w:rsidRPr="00B12EC9">
              <w:rPr>
                <w:b/>
                <w:sz w:val="20"/>
                <w:szCs w:val="20"/>
              </w:rPr>
              <w:t>6</w:t>
            </w:r>
            <w:r w:rsidRPr="00B12EC9">
              <w:rPr>
                <w:b/>
                <w:sz w:val="20"/>
                <w:szCs w:val="20"/>
              </w:rPr>
              <w:t>% (</w:t>
            </w:r>
            <w:r w:rsidR="00CD48B8" w:rsidRPr="00B12EC9">
              <w:rPr>
                <w:b/>
                <w:sz w:val="20"/>
                <w:szCs w:val="20"/>
              </w:rPr>
              <w:t>26/27)</w:t>
            </w:r>
            <w:r w:rsidRPr="00B12EC9">
              <w:rPr>
                <w:b/>
                <w:sz w:val="20"/>
                <w:szCs w:val="20"/>
              </w:rPr>
              <w:t xml:space="preserve">.  </w:t>
            </w:r>
            <w:r w:rsidRPr="00B12EC9">
              <w:rPr>
                <w:b/>
                <w:sz w:val="20"/>
                <w:szCs w:val="20"/>
                <w:lang w:val="en-US"/>
              </w:rPr>
              <w:t xml:space="preserve">  </w:t>
            </w:r>
          </w:p>
          <w:p w14:paraId="38EFE812" w14:textId="77777777" w:rsidR="00FC2E67" w:rsidRPr="00B12EC9" w:rsidRDefault="00FC2E67" w:rsidP="007877A0">
            <w:pPr>
              <w:rPr>
                <w:sz w:val="20"/>
                <w:szCs w:val="20"/>
                <w:lang w:val="en-US"/>
              </w:rPr>
            </w:pPr>
          </w:p>
          <w:p w14:paraId="66A6DF17" w14:textId="77777777" w:rsidR="00915505" w:rsidRPr="00B12EC9" w:rsidRDefault="00FC2E67" w:rsidP="007877A0">
            <w:pPr>
              <w:rPr>
                <w:b/>
                <w:sz w:val="20"/>
                <w:szCs w:val="20"/>
                <w:lang w:val="en-US"/>
              </w:rPr>
            </w:pPr>
            <w:r w:rsidRPr="00B12EC9">
              <w:rPr>
                <w:b/>
                <w:sz w:val="20"/>
                <w:szCs w:val="20"/>
                <w:lang w:val="en-US"/>
              </w:rPr>
              <w:t xml:space="preserve">Fraud </w:t>
            </w:r>
            <w:r w:rsidR="00915505" w:rsidRPr="00B12EC9">
              <w:rPr>
                <w:b/>
                <w:sz w:val="20"/>
                <w:szCs w:val="20"/>
                <w:lang w:val="en-US"/>
              </w:rPr>
              <w:t>Workshops</w:t>
            </w:r>
          </w:p>
          <w:p w14:paraId="2AC96C6B" w14:textId="77777777" w:rsidR="0000763C" w:rsidRPr="00B12EC9" w:rsidRDefault="0000763C" w:rsidP="007877A0">
            <w:pPr>
              <w:rPr>
                <w:sz w:val="20"/>
                <w:szCs w:val="20"/>
                <w:lang w:val="en-US"/>
              </w:rPr>
            </w:pPr>
            <w:r w:rsidRPr="00B12EC9">
              <w:rPr>
                <w:sz w:val="20"/>
                <w:szCs w:val="20"/>
                <w:lang w:val="en-US"/>
              </w:rPr>
              <w:t xml:space="preserve">CAFT </w:t>
            </w:r>
            <w:r w:rsidR="00A31D7E" w:rsidRPr="00B12EC9">
              <w:rPr>
                <w:sz w:val="20"/>
                <w:szCs w:val="20"/>
                <w:lang w:val="en-US"/>
              </w:rPr>
              <w:t>have not delivered any fraud workshops</w:t>
            </w:r>
            <w:r w:rsidR="00E45AE7" w:rsidRPr="00B12EC9">
              <w:rPr>
                <w:sz w:val="20"/>
                <w:szCs w:val="20"/>
                <w:lang w:val="en-US"/>
              </w:rPr>
              <w:t xml:space="preserve"> this year</w:t>
            </w:r>
            <w:r w:rsidRPr="00B12EC9">
              <w:rPr>
                <w:sz w:val="20"/>
                <w:szCs w:val="20"/>
                <w:lang w:val="en-US"/>
              </w:rPr>
              <w:t>.</w:t>
            </w:r>
          </w:p>
          <w:p w14:paraId="0C511067" w14:textId="77777777" w:rsidR="0000763C" w:rsidRPr="00B12EC9" w:rsidRDefault="0000763C" w:rsidP="007877A0">
            <w:pPr>
              <w:rPr>
                <w:sz w:val="20"/>
                <w:szCs w:val="20"/>
                <w:lang w:val="en-US"/>
              </w:rPr>
            </w:pPr>
          </w:p>
          <w:p w14:paraId="1CEEF67E" w14:textId="77777777" w:rsidR="00915505" w:rsidRPr="00B12EC9" w:rsidRDefault="00915505" w:rsidP="007877A0">
            <w:pPr>
              <w:rPr>
                <w:b/>
                <w:sz w:val="20"/>
                <w:szCs w:val="20"/>
                <w:lang w:val="en-US"/>
              </w:rPr>
            </w:pPr>
            <w:r w:rsidRPr="00B12EC9">
              <w:rPr>
                <w:b/>
                <w:sz w:val="20"/>
                <w:szCs w:val="20"/>
                <w:lang w:val="en-US"/>
              </w:rPr>
              <w:t>Publicity</w:t>
            </w:r>
          </w:p>
          <w:p w14:paraId="167306A9" w14:textId="77777777" w:rsidR="0000763C" w:rsidRPr="00B12EC9" w:rsidRDefault="0000763C" w:rsidP="007877A0">
            <w:pPr>
              <w:rPr>
                <w:sz w:val="20"/>
                <w:szCs w:val="20"/>
                <w:lang w:val="en-US"/>
              </w:rPr>
            </w:pPr>
            <w:r w:rsidRPr="00B12EC9">
              <w:rPr>
                <w:sz w:val="20"/>
                <w:szCs w:val="20"/>
                <w:lang w:val="en-US"/>
              </w:rPr>
              <w:t>Harrow Council featured in a</w:t>
            </w:r>
            <w:r w:rsidR="00E45AE7" w:rsidRPr="00B12EC9">
              <w:rPr>
                <w:sz w:val="20"/>
                <w:szCs w:val="20"/>
                <w:lang w:val="en-US"/>
              </w:rPr>
              <w:t xml:space="preserve"> Cifas</w:t>
            </w:r>
            <w:r w:rsidRPr="00B12EC9">
              <w:rPr>
                <w:sz w:val="20"/>
                <w:szCs w:val="20"/>
                <w:lang w:val="en-US"/>
              </w:rPr>
              <w:t xml:space="preserve"> article about </w:t>
            </w:r>
            <w:hyperlink r:id="rId11" w:history="1">
              <w:r w:rsidR="00915505" w:rsidRPr="00B12EC9">
                <w:rPr>
                  <w:rStyle w:val="Hyperlink"/>
                  <w:color w:val="auto"/>
                  <w:sz w:val="20"/>
                  <w:szCs w:val="20"/>
                  <w:lang w:val="en-US"/>
                </w:rPr>
                <w:t>Single Person Discount fraud</w:t>
              </w:r>
            </w:hyperlink>
            <w:r w:rsidR="00915505" w:rsidRPr="00B12EC9">
              <w:rPr>
                <w:sz w:val="20"/>
                <w:szCs w:val="20"/>
                <w:lang w:val="en-US"/>
              </w:rPr>
              <w:t xml:space="preserve"> in September 2019 </w:t>
            </w:r>
            <w:r w:rsidRPr="00B12EC9">
              <w:rPr>
                <w:sz w:val="20"/>
                <w:szCs w:val="20"/>
                <w:lang w:val="en-US"/>
              </w:rPr>
              <w:t xml:space="preserve"> </w:t>
            </w:r>
          </w:p>
          <w:p w14:paraId="55D32E6D" w14:textId="77777777" w:rsidR="0000763C" w:rsidRDefault="0000763C" w:rsidP="007877A0">
            <w:pPr>
              <w:rPr>
                <w:sz w:val="20"/>
                <w:szCs w:val="20"/>
                <w:lang w:val="en-US"/>
              </w:rPr>
            </w:pPr>
          </w:p>
          <w:p w14:paraId="21A8EBCF" w14:textId="77777777" w:rsidR="0017605D" w:rsidRPr="007C6042" w:rsidRDefault="0017605D" w:rsidP="007877A0">
            <w:pPr>
              <w:rPr>
                <w:color w:val="FF0000"/>
                <w:sz w:val="20"/>
                <w:szCs w:val="20"/>
                <w:lang w:val="en-US"/>
              </w:rPr>
            </w:pPr>
          </w:p>
          <w:p w14:paraId="686B205D" w14:textId="77777777" w:rsidR="0017605D" w:rsidRPr="007C6042" w:rsidRDefault="0017605D" w:rsidP="007877A0">
            <w:pPr>
              <w:rPr>
                <w:color w:val="FF0000"/>
                <w:sz w:val="20"/>
                <w:szCs w:val="20"/>
                <w:lang w:val="en-US"/>
              </w:rPr>
            </w:pPr>
          </w:p>
          <w:p w14:paraId="70C58A84" w14:textId="77777777" w:rsidR="0017605D" w:rsidRPr="007C6042" w:rsidRDefault="0017605D" w:rsidP="00904E47">
            <w:pPr>
              <w:rPr>
                <w:color w:val="FF0000"/>
                <w:sz w:val="20"/>
                <w:szCs w:val="20"/>
                <w:lang w:val="en-US"/>
              </w:rPr>
            </w:pPr>
          </w:p>
        </w:tc>
      </w:tr>
      <w:tr w:rsidR="0017605D" w:rsidRPr="0075312F" w14:paraId="6184590E"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28EF3194" w14:textId="77777777" w:rsidR="0017605D" w:rsidRPr="0075312F" w:rsidRDefault="0033298F" w:rsidP="007816FE">
            <w:pPr>
              <w:rPr>
                <w:sz w:val="20"/>
                <w:szCs w:val="20"/>
                <w:lang w:val="en-US"/>
              </w:rPr>
            </w:pPr>
            <w:r>
              <w:rPr>
                <w:sz w:val="20"/>
                <w:szCs w:val="20"/>
                <w:lang w:val="en-US"/>
              </w:rPr>
              <w:t>10</w:t>
            </w:r>
            <w:r w:rsidR="0017605D">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7B4DB49B" w14:textId="77777777" w:rsidR="0017605D" w:rsidRPr="007C6042" w:rsidRDefault="0017605D" w:rsidP="003B2A35">
            <w:pPr>
              <w:rPr>
                <w:b/>
                <w:sz w:val="20"/>
                <w:szCs w:val="20"/>
                <w:lang w:val="en-US"/>
              </w:rPr>
            </w:pPr>
            <w:r w:rsidRPr="007C6042">
              <w:rPr>
                <w:b/>
                <w:sz w:val="20"/>
                <w:szCs w:val="20"/>
                <w:lang w:val="en-US"/>
              </w:rPr>
              <w:t>Fraud liaison</w:t>
            </w:r>
          </w:p>
          <w:p w14:paraId="6F16A733" w14:textId="77777777" w:rsidR="0017605D" w:rsidRPr="007C6042" w:rsidRDefault="0017605D" w:rsidP="003B2A35">
            <w:pPr>
              <w:rPr>
                <w:b/>
                <w:sz w:val="20"/>
                <w:szCs w:val="20"/>
                <w:lang w:val="en-US"/>
              </w:rPr>
            </w:pPr>
          </w:p>
          <w:p w14:paraId="53194A55" w14:textId="77777777" w:rsidR="0017605D" w:rsidRPr="007C6042" w:rsidRDefault="0017605D" w:rsidP="008A65C3">
            <w:pPr>
              <w:rPr>
                <w:sz w:val="20"/>
                <w:szCs w:val="20"/>
                <w:lang w:val="en-US"/>
              </w:rPr>
            </w:pPr>
            <w:r w:rsidRPr="007C6042">
              <w:rPr>
                <w:sz w:val="20"/>
                <w:szCs w:val="20"/>
                <w:lang w:val="en-US"/>
              </w:rPr>
              <w:t xml:space="preserve">Explore, develop and maintain effective liaison with investigation teams in other boroughs and external agencies and ensure that membership and interest </w:t>
            </w:r>
            <w:r w:rsidRPr="007C6042">
              <w:rPr>
                <w:sz w:val="20"/>
                <w:szCs w:val="20"/>
                <w:lang w:val="en-US"/>
              </w:rPr>
              <w:lastRenderedPageBreak/>
              <w:t xml:space="preserve">continues in the London Borough of Fraud Investigators Group (LBFIG), The National Anti-Fraud Network (NAFN), The Chartered Institute of Public Finance and Accountancy (CIPFA) and the proposed London Counter Fraud Hub </w:t>
            </w:r>
          </w:p>
          <w:p w14:paraId="0C4593FF" w14:textId="77777777" w:rsidR="0017605D" w:rsidRPr="007C6042" w:rsidRDefault="0017605D" w:rsidP="003B2A35">
            <w:pPr>
              <w:rPr>
                <w:b/>
                <w:sz w:val="20"/>
                <w:szCs w:val="20"/>
                <w:lang w:val="en-US"/>
              </w:rPr>
            </w:pPr>
          </w:p>
        </w:tc>
        <w:tc>
          <w:tcPr>
            <w:tcW w:w="8646" w:type="dxa"/>
            <w:tcBorders>
              <w:top w:val="single" w:sz="4" w:space="0" w:color="auto"/>
              <w:left w:val="nil"/>
              <w:bottom w:val="single" w:sz="4" w:space="0" w:color="auto"/>
              <w:right w:val="single" w:sz="4" w:space="0" w:color="auto"/>
            </w:tcBorders>
            <w:shd w:val="clear" w:color="auto" w:fill="auto"/>
          </w:tcPr>
          <w:p w14:paraId="644B4D70" w14:textId="40E24B94" w:rsidR="0017605D" w:rsidRPr="00B12EC9" w:rsidRDefault="00AB098A" w:rsidP="001A1505">
            <w:pPr>
              <w:rPr>
                <w:b/>
                <w:sz w:val="20"/>
                <w:szCs w:val="20"/>
              </w:rPr>
            </w:pPr>
            <w:r w:rsidRPr="00B12EC9">
              <w:rPr>
                <w:b/>
                <w:sz w:val="20"/>
                <w:szCs w:val="20"/>
              </w:rPr>
              <w:lastRenderedPageBreak/>
              <w:t>Objective a</w:t>
            </w:r>
            <w:r w:rsidR="00362592" w:rsidRPr="00B12EC9">
              <w:rPr>
                <w:b/>
                <w:sz w:val="20"/>
                <w:szCs w:val="20"/>
              </w:rPr>
              <w:t>chieved</w:t>
            </w:r>
          </w:p>
          <w:p w14:paraId="37E6BD8B" w14:textId="77777777" w:rsidR="0017605D" w:rsidRPr="00B12EC9" w:rsidRDefault="0017605D" w:rsidP="001A1505">
            <w:pPr>
              <w:rPr>
                <w:sz w:val="20"/>
                <w:szCs w:val="20"/>
              </w:rPr>
            </w:pPr>
          </w:p>
          <w:p w14:paraId="2A026101" w14:textId="77777777" w:rsidR="0017605D" w:rsidRPr="00B12EC9" w:rsidRDefault="0017605D" w:rsidP="001A1505">
            <w:pPr>
              <w:rPr>
                <w:sz w:val="20"/>
                <w:szCs w:val="20"/>
              </w:rPr>
            </w:pPr>
            <w:r w:rsidRPr="00B12EC9">
              <w:rPr>
                <w:sz w:val="20"/>
                <w:szCs w:val="20"/>
              </w:rPr>
              <w:t>The authority re</w:t>
            </w:r>
            <w:r w:rsidR="00E45AE7" w:rsidRPr="00B12EC9">
              <w:rPr>
                <w:sz w:val="20"/>
                <w:szCs w:val="20"/>
              </w:rPr>
              <w:t>newed</w:t>
            </w:r>
            <w:r w:rsidRPr="00B12EC9">
              <w:rPr>
                <w:sz w:val="20"/>
                <w:szCs w:val="20"/>
              </w:rPr>
              <w:t xml:space="preserve"> its membership of the National Anti Fraud Network (NAFN) for its essential role in intelligence gathering and the London Borough of Fraud Investigators Group (LBFIG).  NAFN is an essential conduit for accessing 3</w:t>
            </w:r>
            <w:r w:rsidRPr="00B12EC9">
              <w:rPr>
                <w:sz w:val="20"/>
                <w:szCs w:val="20"/>
                <w:vertAlign w:val="superscript"/>
              </w:rPr>
              <w:t>rd</w:t>
            </w:r>
            <w:r w:rsidRPr="00B12EC9">
              <w:rPr>
                <w:sz w:val="20"/>
                <w:szCs w:val="20"/>
              </w:rPr>
              <w:t xml:space="preserve"> party information sources which is vital for supporting investigation work.  </w:t>
            </w:r>
          </w:p>
          <w:p w14:paraId="38501F3B" w14:textId="77777777" w:rsidR="0017605D" w:rsidRPr="00B12EC9" w:rsidRDefault="0017605D" w:rsidP="001A1505">
            <w:pPr>
              <w:rPr>
                <w:sz w:val="20"/>
                <w:szCs w:val="20"/>
              </w:rPr>
            </w:pPr>
          </w:p>
          <w:p w14:paraId="74CAF94A" w14:textId="77777777" w:rsidR="0017605D" w:rsidRPr="00B12EC9" w:rsidRDefault="0017605D" w:rsidP="001A1505">
            <w:pPr>
              <w:rPr>
                <w:sz w:val="20"/>
                <w:szCs w:val="20"/>
              </w:rPr>
            </w:pPr>
            <w:r w:rsidRPr="00B12EC9">
              <w:rPr>
                <w:sz w:val="20"/>
                <w:szCs w:val="20"/>
              </w:rPr>
              <w:t>Officers in the team have also attended a number of Counter Fraud Conferences during the year which is important to keep up to date of current fraud trends and emerging fraud risks.</w:t>
            </w:r>
          </w:p>
          <w:p w14:paraId="29CA8A70" w14:textId="77777777" w:rsidR="0017605D" w:rsidRPr="00B12EC9" w:rsidRDefault="0017605D" w:rsidP="001A1505">
            <w:pPr>
              <w:rPr>
                <w:sz w:val="20"/>
                <w:szCs w:val="20"/>
              </w:rPr>
            </w:pPr>
          </w:p>
          <w:p w14:paraId="5A2DBC95" w14:textId="77777777" w:rsidR="0017605D" w:rsidRPr="00B12EC9" w:rsidRDefault="0017605D" w:rsidP="001A1505">
            <w:pPr>
              <w:rPr>
                <w:sz w:val="20"/>
                <w:szCs w:val="20"/>
              </w:rPr>
            </w:pPr>
            <w:r w:rsidRPr="00B12EC9">
              <w:rPr>
                <w:sz w:val="20"/>
                <w:szCs w:val="20"/>
              </w:rPr>
              <w:t>Established partnerships with the Border Force, HMRC, the Home Office, the Metropolitan Police and other enforcement agencies have proven essential to current investigation work.</w:t>
            </w:r>
          </w:p>
          <w:p w14:paraId="4C4754BE" w14:textId="77777777" w:rsidR="00076CB7" w:rsidRPr="00B12EC9" w:rsidRDefault="00076CB7" w:rsidP="005F7FEC">
            <w:pPr>
              <w:rPr>
                <w:sz w:val="20"/>
                <w:szCs w:val="20"/>
              </w:rPr>
            </w:pPr>
          </w:p>
          <w:p w14:paraId="678AE4CC" w14:textId="76E00FAA" w:rsidR="00554FB3" w:rsidRPr="00B12EC9" w:rsidRDefault="00076CB7" w:rsidP="005F7FEC">
            <w:pPr>
              <w:rPr>
                <w:sz w:val="20"/>
                <w:szCs w:val="20"/>
              </w:rPr>
            </w:pPr>
            <w:r w:rsidRPr="00B12EC9">
              <w:rPr>
                <w:sz w:val="20"/>
                <w:szCs w:val="20"/>
              </w:rPr>
              <w:t xml:space="preserve">The authority joined Cifas in April 2019.  See section 8. </w:t>
            </w:r>
          </w:p>
          <w:p w14:paraId="567855E7" w14:textId="77777777" w:rsidR="0017605D" w:rsidRPr="007C6042" w:rsidRDefault="0017605D" w:rsidP="005F7FEC">
            <w:pPr>
              <w:rPr>
                <w:sz w:val="20"/>
                <w:szCs w:val="20"/>
                <w:lang w:val="en-US"/>
              </w:rPr>
            </w:pPr>
          </w:p>
        </w:tc>
      </w:tr>
    </w:tbl>
    <w:p w14:paraId="2D595BA2" w14:textId="77777777" w:rsidR="0017605D" w:rsidRDefault="0017605D">
      <w:r>
        <w:lastRenderedPageBreak/>
        <w:br w:type="page"/>
      </w:r>
    </w:p>
    <w:tbl>
      <w:tblPr>
        <w:tblW w:w="13183" w:type="dxa"/>
        <w:tblInd w:w="-34" w:type="dxa"/>
        <w:tblLayout w:type="fixed"/>
        <w:tblLook w:val="0000" w:firstRow="0" w:lastRow="0" w:firstColumn="0" w:lastColumn="0" w:noHBand="0" w:noVBand="0"/>
      </w:tblPr>
      <w:tblGrid>
        <w:gridCol w:w="576"/>
        <w:gridCol w:w="3961"/>
        <w:gridCol w:w="8646"/>
      </w:tblGrid>
      <w:tr w:rsidR="0017605D" w:rsidRPr="00380629" w14:paraId="3EB470E7" w14:textId="77777777" w:rsidTr="0017605D">
        <w:trPr>
          <w:trHeight w:val="602"/>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581D1EC1" w14:textId="77777777" w:rsidR="0017605D" w:rsidRDefault="0017605D" w:rsidP="00D67E75">
            <w:pPr>
              <w:rPr>
                <w:b/>
                <w:bCs/>
                <w:sz w:val="20"/>
                <w:szCs w:val="20"/>
                <w:lang w:val="en-US"/>
              </w:rPr>
            </w:pPr>
          </w:p>
        </w:tc>
        <w:tc>
          <w:tcPr>
            <w:tcW w:w="3961" w:type="dxa"/>
            <w:tcBorders>
              <w:top w:val="single" w:sz="4" w:space="0" w:color="auto"/>
              <w:left w:val="single" w:sz="4" w:space="0" w:color="auto"/>
              <w:bottom w:val="single" w:sz="4" w:space="0" w:color="auto"/>
              <w:right w:val="single" w:sz="4" w:space="0" w:color="auto"/>
            </w:tcBorders>
            <w:shd w:val="clear" w:color="auto" w:fill="17365D"/>
            <w:noWrap/>
            <w:vAlign w:val="bottom"/>
          </w:tcPr>
          <w:p w14:paraId="7031C833" w14:textId="77777777" w:rsidR="0017605D" w:rsidRDefault="0017605D" w:rsidP="00D67E75">
            <w:pPr>
              <w:rPr>
                <w:b/>
                <w:bCs/>
                <w:sz w:val="20"/>
                <w:szCs w:val="20"/>
                <w:lang w:val="en-US"/>
              </w:rPr>
            </w:pPr>
          </w:p>
          <w:p w14:paraId="40DA308F" w14:textId="77777777" w:rsidR="0017605D" w:rsidRDefault="0017605D" w:rsidP="00D67E75">
            <w:pPr>
              <w:rPr>
                <w:b/>
                <w:bCs/>
                <w:sz w:val="20"/>
                <w:szCs w:val="20"/>
                <w:lang w:val="en-US"/>
              </w:rPr>
            </w:pPr>
            <w:r>
              <w:rPr>
                <w:b/>
                <w:bCs/>
                <w:sz w:val="20"/>
                <w:szCs w:val="20"/>
                <w:lang w:val="en-US"/>
              </w:rPr>
              <w:t>Fraud work stream</w:t>
            </w:r>
          </w:p>
          <w:p w14:paraId="0D85A44F" w14:textId="77777777" w:rsidR="0017605D" w:rsidRPr="00380629" w:rsidRDefault="0017605D" w:rsidP="00D67E75">
            <w:pPr>
              <w:rPr>
                <w:b/>
                <w:bCs/>
                <w:sz w:val="20"/>
                <w:szCs w:val="20"/>
                <w:lang w:val="en-US"/>
              </w:rPr>
            </w:pPr>
          </w:p>
        </w:tc>
        <w:tc>
          <w:tcPr>
            <w:tcW w:w="8646" w:type="dxa"/>
            <w:tcBorders>
              <w:top w:val="single" w:sz="4" w:space="0" w:color="auto"/>
              <w:left w:val="nil"/>
              <w:bottom w:val="single" w:sz="4" w:space="0" w:color="auto"/>
              <w:right w:val="single" w:sz="4" w:space="0" w:color="auto"/>
            </w:tcBorders>
            <w:shd w:val="clear" w:color="auto" w:fill="17365D"/>
            <w:vAlign w:val="center"/>
          </w:tcPr>
          <w:p w14:paraId="5AFD33AE" w14:textId="77777777" w:rsidR="0017605D" w:rsidRPr="00380629" w:rsidRDefault="00FB1137" w:rsidP="00D67E75">
            <w:pPr>
              <w:rPr>
                <w:b/>
                <w:bCs/>
                <w:sz w:val="20"/>
                <w:szCs w:val="20"/>
                <w:lang w:val="en-US"/>
              </w:rPr>
            </w:pPr>
            <w:r>
              <w:rPr>
                <w:b/>
                <w:bCs/>
                <w:sz w:val="20"/>
                <w:szCs w:val="20"/>
                <w:lang w:val="en-US"/>
              </w:rPr>
              <w:t xml:space="preserve">2019-20 </w:t>
            </w:r>
            <w:r w:rsidR="00110C22">
              <w:rPr>
                <w:b/>
                <w:bCs/>
                <w:sz w:val="20"/>
                <w:szCs w:val="20"/>
                <w:lang w:val="en-US"/>
              </w:rPr>
              <w:t>Year end outcome</w:t>
            </w:r>
          </w:p>
        </w:tc>
      </w:tr>
      <w:tr w:rsidR="0017605D" w:rsidRPr="0075312F" w14:paraId="231D80C9"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2B5C2DD4" w14:textId="77777777" w:rsidR="0017605D" w:rsidRDefault="0033298F" w:rsidP="00D67E75">
            <w:pPr>
              <w:rPr>
                <w:sz w:val="20"/>
                <w:szCs w:val="20"/>
                <w:lang w:val="en-US"/>
              </w:rPr>
            </w:pPr>
            <w:r>
              <w:rPr>
                <w:sz w:val="20"/>
                <w:szCs w:val="20"/>
                <w:lang w:val="en-US"/>
              </w:rPr>
              <w:t>11</w:t>
            </w:r>
            <w:r w:rsidR="0017605D">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0A56E4AD" w14:textId="77777777" w:rsidR="0017605D" w:rsidRPr="007C6042" w:rsidRDefault="0017605D" w:rsidP="00D67E75">
            <w:pPr>
              <w:rPr>
                <w:b/>
                <w:sz w:val="20"/>
                <w:szCs w:val="20"/>
                <w:lang w:val="en-US"/>
              </w:rPr>
            </w:pPr>
            <w:r w:rsidRPr="007C6042">
              <w:rPr>
                <w:b/>
                <w:sz w:val="20"/>
                <w:szCs w:val="20"/>
                <w:lang w:val="en-US"/>
              </w:rPr>
              <w:t>Internal datamatching</w:t>
            </w:r>
          </w:p>
          <w:p w14:paraId="428F7F57" w14:textId="77777777" w:rsidR="0017605D" w:rsidRPr="007C6042" w:rsidRDefault="0017605D" w:rsidP="00D67E75">
            <w:pPr>
              <w:rPr>
                <w:b/>
                <w:sz w:val="20"/>
                <w:szCs w:val="20"/>
                <w:lang w:val="en-US"/>
              </w:rPr>
            </w:pPr>
          </w:p>
          <w:p w14:paraId="1614F2D1" w14:textId="77777777" w:rsidR="0017605D" w:rsidRPr="007C6042" w:rsidRDefault="0017605D" w:rsidP="00D67E75">
            <w:pPr>
              <w:rPr>
                <w:sz w:val="20"/>
                <w:szCs w:val="20"/>
                <w:lang w:val="en-US"/>
              </w:rPr>
            </w:pPr>
            <w:r w:rsidRPr="007C6042">
              <w:rPr>
                <w:sz w:val="20"/>
                <w:szCs w:val="20"/>
                <w:lang w:val="en-US"/>
              </w:rPr>
              <w:t xml:space="preserve">Design and deliver an anti-fraud campaign using the iDIS data matching tool for the purposes of detecting, preventing and pursuing fraud and corruption </w:t>
            </w:r>
          </w:p>
          <w:p w14:paraId="3CB3F6F8" w14:textId="77777777" w:rsidR="0017605D" w:rsidRPr="007C6042" w:rsidRDefault="0017605D" w:rsidP="00D67E75">
            <w:pPr>
              <w:rPr>
                <w:sz w:val="20"/>
                <w:szCs w:val="20"/>
                <w:lang w:val="en-US"/>
              </w:rPr>
            </w:pPr>
          </w:p>
        </w:tc>
        <w:tc>
          <w:tcPr>
            <w:tcW w:w="8646" w:type="dxa"/>
            <w:tcBorders>
              <w:top w:val="single" w:sz="4" w:space="0" w:color="auto"/>
              <w:left w:val="nil"/>
              <w:bottom w:val="single" w:sz="4" w:space="0" w:color="auto"/>
              <w:right w:val="single" w:sz="4" w:space="0" w:color="auto"/>
            </w:tcBorders>
            <w:shd w:val="clear" w:color="auto" w:fill="auto"/>
          </w:tcPr>
          <w:p w14:paraId="5F166707" w14:textId="1DBE8561" w:rsidR="0017605D" w:rsidRPr="00B12EC9" w:rsidRDefault="00DE6E98" w:rsidP="00D67E75">
            <w:pPr>
              <w:rPr>
                <w:b/>
                <w:sz w:val="20"/>
                <w:szCs w:val="20"/>
              </w:rPr>
            </w:pPr>
            <w:r w:rsidRPr="00B12EC9">
              <w:rPr>
                <w:b/>
                <w:sz w:val="20"/>
                <w:szCs w:val="20"/>
              </w:rPr>
              <w:t>Objective a</w:t>
            </w:r>
            <w:r w:rsidR="00362592" w:rsidRPr="00B12EC9">
              <w:rPr>
                <w:b/>
                <w:sz w:val="20"/>
                <w:szCs w:val="20"/>
              </w:rPr>
              <w:t>chieved</w:t>
            </w:r>
          </w:p>
          <w:p w14:paraId="797B56B3" w14:textId="77777777" w:rsidR="0017605D" w:rsidRPr="00B12EC9" w:rsidRDefault="0017605D" w:rsidP="00D67E75">
            <w:pPr>
              <w:rPr>
                <w:b/>
                <w:sz w:val="20"/>
                <w:szCs w:val="20"/>
              </w:rPr>
            </w:pPr>
          </w:p>
          <w:p w14:paraId="795F21DD" w14:textId="77777777" w:rsidR="00796AA5" w:rsidRPr="00B12EC9" w:rsidRDefault="00076CB7" w:rsidP="00362592">
            <w:pPr>
              <w:rPr>
                <w:sz w:val="20"/>
                <w:szCs w:val="20"/>
                <w:lang w:val="en-US"/>
              </w:rPr>
            </w:pPr>
            <w:r w:rsidRPr="00B12EC9">
              <w:rPr>
                <w:sz w:val="20"/>
                <w:szCs w:val="20"/>
                <w:lang w:val="en-US"/>
              </w:rPr>
              <w:t xml:space="preserve">A housing tenancy fraud datamatch </w:t>
            </w:r>
            <w:r w:rsidR="00451955" w:rsidRPr="00B12EC9">
              <w:rPr>
                <w:sz w:val="20"/>
                <w:szCs w:val="20"/>
                <w:lang w:val="en-US"/>
              </w:rPr>
              <w:t xml:space="preserve">against credit bureau </w:t>
            </w:r>
            <w:r w:rsidR="00362592" w:rsidRPr="00B12EC9">
              <w:rPr>
                <w:sz w:val="20"/>
                <w:szCs w:val="20"/>
                <w:lang w:val="en-US"/>
              </w:rPr>
              <w:t xml:space="preserve">data was </w:t>
            </w:r>
            <w:r w:rsidR="00764FC8" w:rsidRPr="00B12EC9">
              <w:rPr>
                <w:sz w:val="20"/>
                <w:szCs w:val="20"/>
                <w:lang w:val="en-US"/>
              </w:rPr>
              <w:t>undertaken</w:t>
            </w:r>
            <w:r w:rsidR="00362592" w:rsidRPr="00B12EC9">
              <w:rPr>
                <w:sz w:val="20"/>
                <w:szCs w:val="20"/>
                <w:lang w:val="en-US"/>
              </w:rPr>
              <w:t xml:space="preserve"> in Q3 where all current housing tenants were matched against credit bureau </w:t>
            </w:r>
            <w:r w:rsidR="00764FC8" w:rsidRPr="00B12EC9">
              <w:rPr>
                <w:sz w:val="20"/>
                <w:szCs w:val="20"/>
                <w:lang w:val="en-US"/>
              </w:rPr>
              <w:t xml:space="preserve">data </w:t>
            </w:r>
            <w:r w:rsidR="00362592" w:rsidRPr="00B12EC9">
              <w:rPr>
                <w:sz w:val="20"/>
                <w:szCs w:val="20"/>
                <w:lang w:val="en-US"/>
              </w:rPr>
              <w:t xml:space="preserve">to identify </w:t>
            </w:r>
          </w:p>
          <w:p w14:paraId="7771129A" w14:textId="77777777" w:rsidR="00796AA5" w:rsidRPr="00B12EC9" w:rsidRDefault="00796AA5" w:rsidP="00362592">
            <w:pPr>
              <w:rPr>
                <w:sz w:val="20"/>
                <w:szCs w:val="20"/>
                <w:lang w:val="en-US"/>
              </w:rPr>
            </w:pPr>
          </w:p>
          <w:p w14:paraId="7966A9F3" w14:textId="77777777" w:rsidR="00796AA5" w:rsidRPr="00B12EC9" w:rsidRDefault="00362592" w:rsidP="00362592">
            <w:pPr>
              <w:rPr>
                <w:sz w:val="20"/>
                <w:szCs w:val="20"/>
                <w:lang w:val="en-US"/>
              </w:rPr>
            </w:pPr>
            <w:r w:rsidRPr="00B12EC9">
              <w:rPr>
                <w:sz w:val="20"/>
                <w:szCs w:val="20"/>
                <w:lang w:val="en-US"/>
              </w:rPr>
              <w:t xml:space="preserve">a) those </w:t>
            </w:r>
            <w:r w:rsidR="00764FC8" w:rsidRPr="00B12EC9">
              <w:rPr>
                <w:sz w:val="20"/>
                <w:szCs w:val="20"/>
                <w:lang w:val="en-US"/>
              </w:rPr>
              <w:t xml:space="preserve">tenants </w:t>
            </w:r>
            <w:r w:rsidRPr="00B12EC9">
              <w:rPr>
                <w:sz w:val="20"/>
                <w:szCs w:val="20"/>
                <w:lang w:val="en-US"/>
              </w:rPr>
              <w:t xml:space="preserve">that were credit active at addresses other than the tenancy, </w:t>
            </w:r>
          </w:p>
          <w:p w14:paraId="04DB1742" w14:textId="77777777" w:rsidR="00796AA5" w:rsidRPr="00B12EC9" w:rsidRDefault="00362592" w:rsidP="00362592">
            <w:pPr>
              <w:rPr>
                <w:sz w:val="20"/>
                <w:szCs w:val="20"/>
                <w:lang w:val="en-US"/>
              </w:rPr>
            </w:pPr>
            <w:r w:rsidRPr="00B12EC9">
              <w:rPr>
                <w:sz w:val="20"/>
                <w:szCs w:val="20"/>
                <w:lang w:val="en-US"/>
              </w:rPr>
              <w:t>b)</w:t>
            </w:r>
            <w:r w:rsidR="00764FC8" w:rsidRPr="00B12EC9">
              <w:rPr>
                <w:sz w:val="20"/>
                <w:szCs w:val="20"/>
                <w:lang w:val="en-US"/>
              </w:rPr>
              <w:t xml:space="preserve"> those tenants that had no active credit footprint at the tenancy, and </w:t>
            </w:r>
          </w:p>
          <w:p w14:paraId="5EA2C748" w14:textId="19B9D38E" w:rsidR="00796AA5" w:rsidRPr="00B12EC9" w:rsidRDefault="00764FC8" w:rsidP="00362592">
            <w:pPr>
              <w:rPr>
                <w:sz w:val="20"/>
                <w:szCs w:val="20"/>
                <w:lang w:val="en-US"/>
              </w:rPr>
            </w:pPr>
            <w:r w:rsidRPr="00B12EC9">
              <w:rPr>
                <w:sz w:val="20"/>
                <w:szCs w:val="20"/>
                <w:lang w:val="en-US"/>
              </w:rPr>
              <w:t xml:space="preserve">c) those where </w:t>
            </w:r>
            <w:r w:rsidR="00796AA5" w:rsidRPr="00B12EC9">
              <w:rPr>
                <w:sz w:val="20"/>
                <w:szCs w:val="20"/>
                <w:lang w:val="en-US"/>
              </w:rPr>
              <w:t>individuals other than the tenant</w:t>
            </w:r>
            <w:r w:rsidRPr="00B12EC9">
              <w:rPr>
                <w:sz w:val="20"/>
                <w:szCs w:val="20"/>
                <w:lang w:val="en-US"/>
              </w:rPr>
              <w:t xml:space="preserve"> were credit active at tenancy </w:t>
            </w:r>
            <w:r w:rsidR="00796AA5" w:rsidRPr="00B12EC9">
              <w:rPr>
                <w:sz w:val="20"/>
                <w:szCs w:val="20"/>
                <w:lang w:val="en-US"/>
              </w:rPr>
              <w:t>indicating a sublet</w:t>
            </w:r>
            <w:r w:rsidRPr="00B12EC9">
              <w:rPr>
                <w:sz w:val="20"/>
                <w:szCs w:val="20"/>
                <w:lang w:val="en-US"/>
              </w:rPr>
              <w:t xml:space="preserve">.  </w:t>
            </w:r>
          </w:p>
          <w:p w14:paraId="682A8484" w14:textId="77777777" w:rsidR="00796AA5" w:rsidRPr="00B12EC9" w:rsidRDefault="00796AA5" w:rsidP="00362592">
            <w:pPr>
              <w:rPr>
                <w:sz w:val="20"/>
                <w:szCs w:val="20"/>
                <w:lang w:val="en-US"/>
              </w:rPr>
            </w:pPr>
          </w:p>
          <w:p w14:paraId="0BBA0518" w14:textId="0D50EFBE" w:rsidR="00362592" w:rsidRPr="00B12EC9" w:rsidRDefault="00764FC8" w:rsidP="00362592">
            <w:pPr>
              <w:rPr>
                <w:sz w:val="20"/>
                <w:szCs w:val="20"/>
                <w:lang w:val="en-US"/>
              </w:rPr>
            </w:pPr>
            <w:r w:rsidRPr="00B12EC9">
              <w:rPr>
                <w:sz w:val="20"/>
                <w:szCs w:val="20"/>
                <w:lang w:val="en-US"/>
              </w:rPr>
              <w:t xml:space="preserve">A total of 73 investigations were launched involving </w:t>
            </w:r>
            <w:r w:rsidR="00CB6441" w:rsidRPr="00B12EC9">
              <w:rPr>
                <w:sz w:val="20"/>
                <w:szCs w:val="20"/>
                <w:lang w:val="en-US"/>
              </w:rPr>
              <w:t xml:space="preserve">the </w:t>
            </w:r>
            <w:r w:rsidRPr="00B12EC9">
              <w:rPr>
                <w:sz w:val="20"/>
                <w:szCs w:val="20"/>
                <w:lang w:val="en-US"/>
              </w:rPr>
              <w:t xml:space="preserve">case types mentioned above but no tenancy fraud has been identified </w:t>
            </w:r>
            <w:r w:rsidR="00796AA5" w:rsidRPr="00B12EC9">
              <w:rPr>
                <w:sz w:val="20"/>
                <w:szCs w:val="20"/>
                <w:lang w:val="en-US"/>
              </w:rPr>
              <w:t xml:space="preserve">to date </w:t>
            </w:r>
            <w:r w:rsidRPr="00B12EC9">
              <w:rPr>
                <w:sz w:val="20"/>
                <w:szCs w:val="20"/>
                <w:lang w:val="en-US"/>
              </w:rPr>
              <w:t xml:space="preserve">with only 1 case still </w:t>
            </w:r>
            <w:r w:rsidR="00CB6441" w:rsidRPr="00B12EC9">
              <w:rPr>
                <w:sz w:val="20"/>
                <w:szCs w:val="20"/>
                <w:lang w:val="en-US"/>
              </w:rPr>
              <w:t>live under investigation</w:t>
            </w:r>
          </w:p>
          <w:p w14:paraId="7A622B21" w14:textId="77777777" w:rsidR="00764FC8" w:rsidRPr="00362592" w:rsidRDefault="00764FC8" w:rsidP="00362592">
            <w:pPr>
              <w:rPr>
                <w:color w:val="000000"/>
                <w:sz w:val="20"/>
                <w:szCs w:val="20"/>
                <w:lang w:val="en-US"/>
              </w:rPr>
            </w:pPr>
          </w:p>
        </w:tc>
      </w:tr>
      <w:tr w:rsidR="0017605D" w:rsidRPr="005F0B23" w14:paraId="5F20354E"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3DE252CC" w14:textId="77777777" w:rsidR="0017605D" w:rsidRPr="005F0B23" w:rsidRDefault="0033298F" w:rsidP="007816FE">
            <w:pPr>
              <w:rPr>
                <w:sz w:val="20"/>
                <w:szCs w:val="20"/>
              </w:rPr>
            </w:pPr>
            <w:r>
              <w:rPr>
                <w:sz w:val="20"/>
                <w:szCs w:val="20"/>
              </w:rPr>
              <w:t>12.</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2E8F234B" w14:textId="77777777" w:rsidR="0017605D" w:rsidRPr="007C6042" w:rsidRDefault="0017605D" w:rsidP="00A90CB8">
            <w:pPr>
              <w:rPr>
                <w:b/>
                <w:sz w:val="20"/>
                <w:szCs w:val="20"/>
              </w:rPr>
            </w:pPr>
            <w:r w:rsidRPr="007C6042">
              <w:rPr>
                <w:b/>
                <w:sz w:val="20"/>
                <w:szCs w:val="20"/>
              </w:rPr>
              <w:t>Housing fraud</w:t>
            </w:r>
          </w:p>
          <w:p w14:paraId="4449BD27" w14:textId="77777777" w:rsidR="0017605D" w:rsidRPr="007C6042" w:rsidRDefault="0017605D" w:rsidP="00A90CB8">
            <w:pPr>
              <w:rPr>
                <w:b/>
                <w:sz w:val="20"/>
                <w:szCs w:val="20"/>
              </w:rPr>
            </w:pPr>
          </w:p>
          <w:p w14:paraId="5BEA50E4" w14:textId="77777777" w:rsidR="0017605D" w:rsidRPr="007C6042" w:rsidRDefault="0017605D" w:rsidP="00CA78FA">
            <w:pPr>
              <w:rPr>
                <w:sz w:val="20"/>
                <w:szCs w:val="20"/>
                <w:lang w:val="en-US"/>
              </w:rPr>
            </w:pPr>
            <w:r w:rsidRPr="007C6042">
              <w:rPr>
                <w:sz w:val="20"/>
                <w:szCs w:val="20"/>
                <w:lang w:val="en-US"/>
              </w:rPr>
              <w:t>Assess and investigate allegations of fraud and abuse in the housing system working in partnership with Housing Resident Services, Housing Needs and Harrow’s RSL’s including:</w:t>
            </w:r>
          </w:p>
          <w:p w14:paraId="472E1EDB" w14:textId="77777777" w:rsidR="0017605D" w:rsidRPr="007C6042" w:rsidRDefault="0017605D" w:rsidP="00CA78FA">
            <w:pPr>
              <w:rPr>
                <w:sz w:val="20"/>
                <w:szCs w:val="20"/>
                <w:lang w:val="en-US"/>
              </w:rPr>
            </w:pPr>
          </w:p>
          <w:p w14:paraId="4F62A434" w14:textId="77777777" w:rsidR="0017605D" w:rsidRPr="0017605D" w:rsidRDefault="004F1B1F" w:rsidP="0017605D">
            <w:pPr>
              <w:numPr>
                <w:ilvl w:val="0"/>
                <w:numId w:val="1"/>
              </w:numPr>
              <w:rPr>
                <w:sz w:val="20"/>
                <w:szCs w:val="20"/>
                <w:lang w:val="en-US"/>
              </w:rPr>
            </w:pPr>
            <w:r>
              <w:rPr>
                <w:sz w:val="20"/>
                <w:szCs w:val="20"/>
                <w:lang w:val="en-US"/>
              </w:rPr>
              <w:t>Seek to recover 10</w:t>
            </w:r>
            <w:r w:rsidR="0017605D" w:rsidRPr="007C6042">
              <w:rPr>
                <w:sz w:val="20"/>
                <w:szCs w:val="20"/>
                <w:lang w:val="en-US"/>
              </w:rPr>
              <w:t xml:space="preserve"> social housing units subject to fraud &amp; misuse (KPI1)</w:t>
            </w:r>
          </w:p>
          <w:p w14:paraId="16424745" w14:textId="77777777" w:rsidR="0017605D" w:rsidRPr="007C6042" w:rsidRDefault="0017605D" w:rsidP="00C959B4">
            <w:pPr>
              <w:rPr>
                <w:sz w:val="20"/>
                <w:szCs w:val="20"/>
                <w:lang w:val="en-US"/>
              </w:rPr>
            </w:pPr>
          </w:p>
          <w:p w14:paraId="07B4D685" w14:textId="77777777" w:rsidR="0017605D" w:rsidRPr="007C6042" w:rsidRDefault="0017605D" w:rsidP="00CA78FA">
            <w:pPr>
              <w:numPr>
                <w:ilvl w:val="0"/>
                <w:numId w:val="1"/>
              </w:numPr>
              <w:rPr>
                <w:sz w:val="20"/>
                <w:szCs w:val="20"/>
                <w:lang w:val="en-US"/>
              </w:rPr>
            </w:pPr>
            <w:r w:rsidRPr="007C6042">
              <w:rPr>
                <w:sz w:val="20"/>
                <w:szCs w:val="20"/>
                <w:lang w:val="en-US"/>
              </w:rPr>
              <w:t>Prevent housing application fraud through a proactive fraud risk based targeted review of those customers in emergency accommodation</w:t>
            </w:r>
            <w:r w:rsidR="004F1B1F">
              <w:rPr>
                <w:sz w:val="20"/>
                <w:szCs w:val="20"/>
                <w:lang w:val="en-US"/>
              </w:rPr>
              <w:t xml:space="preserve"> (placed outside of the borough)</w:t>
            </w:r>
          </w:p>
          <w:p w14:paraId="3F96657D" w14:textId="77777777" w:rsidR="0017605D" w:rsidRPr="007C6042" w:rsidRDefault="0017605D" w:rsidP="0017605D">
            <w:pPr>
              <w:rPr>
                <w:sz w:val="20"/>
                <w:szCs w:val="20"/>
                <w:lang w:val="en-US"/>
              </w:rPr>
            </w:pPr>
          </w:p>
          <w:p w14:paraId="07C03698" w14:textId="77777777" w:rsidR="0017605D" w:rsidRPr="0017605D" w:rsidRDefault="0017605D" w:rsidP="00CA78FA">
            <w:pPr>
              <w:numPr>
                <w:ilvl w:val="0"/>
                <w:numId w:val="1"/>
              </w:numPr>
              <w:rPr>
                <w:sz w:val="20"/>
                <w:szCs w:val="20"/>
                <w:lang w:val="en-US"/>
              </w:rPr>
            </w:pPr>
            <w:r w:rsidRPr="007C6042">
              <w:rPr>
                <w:sz w:val="20"/>
                <w:szCs w:val="20"/>
                <w:lang w:val="en-US"/>
              </w:rPr>
              <w:t>Prevent fraudulent Right to Buy (RTB) applications through targeted application validation with a fraud check on 90% applications referred to the CAFT at offer stage (KPI2)</w:t>
            </w:r>
          </w:p>
          <w:p w14:paraId="73FB11F3" w14:textId="77777777" w:rsidR="0017605D" w:rsidRPr="007C6042" w:rsidRDefault="0017605D" w:rsidP="00CA78FA">
            <w:pPr>
              <w:rPr>
                <w:sz w:val="20"/>
                <w:szCs w:val="20"/>
                <w:lang w:val="en-US"/>
              </w:rPr>
            </w:pPr>
          </w:p>
          <w:p w14:paraId="01EC81FB" w14:textId="77777777" w:rsidR="0017605D" w:rsidRPr="007C6042" w:rsidRDefault="0017605D" w:rsidP="00CA78FA">
            <w:pPr>
              <w:numPr>
                <w:ilvl w:val="0"/>
                <w:numId w:val="1"/>
              </w:numPr>
              <w:rPr>
                <w:b/>
                <w:sz w:val="20"/>
                <w:szCs w:val="20"/>
              </w:rPr>
            </w:pPr>
            <w:r w:rsidRPr="007C6042">
              <w:rPr>
                <w:sz w:val="20"/>
                <w:szCs w:val="20"/>
                <w:lang w:val="en-US"/>
              </w:rPr>
              <w:t xml:space="preserve">Maximise the use of powers contained within the Prevention of Social Housing Fraud Act 2013 </w:t>
            </w:r>
            <w:r w:rsidRPr="007C6042">
              <w:rPr>
                <w:sz w:val="20"/>
                <w:szCs w:val="20"/>
                <w:lang w:val="en-US"/>
              </w:rPr>
              <w:lastRenderedPageBreak/>
              <w:t>(PoSHFA) in terms of gathering evidence, investigation and prosecution of offenders and recovery of unlawful profit</w:t>
            </w:r>
          </w:p>
        </w:tc>
        <w:tc>
          <w:tcPr>
            <w:tcW w:w="8646" w:type="dxa"/>
            <w:tcBorders>
              <w:top w:val="single" w:sz="4" w:space="0" w:color="auto"/>
              <w:left w:val="nil"/>
              <w:bottom w:val="single" w:sz="4" w:space="0" w:color="auto"/>
              <w:right w:val="single" w:sz="4" w:space="0" w:color="auto"/>
            </w:tcBorders>
            <w:shd w:val="clear" w:color="auto" w:fill="auto"/>
          </w:tcPr>
          <w:p w14:paraId="69432078" w14:textId="7EC11520" w:rsidR="0017605D" w:rsidRPr="00B12EC9" w:rsidRDefault="00DE6E98" w:rsidP="008937A7">
            <w:pPr>
              <w:rPr>
                <w:b/>
                <w:sz w:val="20"/>
                <w:szCs w:val="20"/>
              </w:rPr>
            </w:pPr>
            <w:r w:rsidRPr="00B12EC9">
              <w:rPr>
                <w:b/>
                <w:sz w:val="20"/>
                <w:szCs w:val="20"/>
              </w:rPr>
              <w:lastRenderedPageBreak/>
              <w:t xml:space="preserve">Objective </w:t>
            </w:r>
            <w:r w:rsidR="00B12EC9" w:rsidRPr="00B12EC9">
              <w:rPr>
                <w:b/>
                <w:sz w:val="20"/>
                <w:szCs w:val="20"/>
              </w:rPr>
              <w:t>partially achieved</w:t>
            </w:r>
          </w:p>
          <w:p w14:paraId="4F4194D4" w14:textId="77777777" w:rsidR="00076CB7" w:rsidRPr="00B12EC9" w:rsidRDefault="00076CB7" w:rsidP="008937A7">
            <w:pPr>
              <w:rPr>
                <w:b/>
                <w:sz w:val="20"/>
                <w:szCs w:val="20"/>
              </w:rPr>
            </w:pPr>
          </w:p>
          <w:p w14:paraId="21F775D0" w14:textId="252E41BF" w:rsidR="0017605D" w:rsidRPr="00B12EC9" w:rsidRDefault="0017605D" w:rsidP="008937A7">
            <w:pPr>
              <w:rPr>
                <w:b/>
                <w:sz w:val="20"/>
                <w:szCs w:val="20"/>
              </w:rPr>
            </w:pPr>
            <w:r w:rsidRPr="00B12EC9">
              <w:rPr>
                <w:b/>
                <w:sz w:val="20"/>
                <w:szCs w:val="20"/>
              </w:rPr>
              <w:t>Tenancy recoveri</w:t>
            </w:r>
            <w:r w:rsidR="00B12EC9" w:rsidRPr="00B12EC9">
              <w:rPr>
                <w:b/>
                <w:sz w:val="20"/>
                <w:szCs w:val="20"/>
              </w:rPr>
              <w:t>es work stream</w:t>
            </w:r>
          </w:p>
          <w:p w14:paraId="2D6F7C83" w14:textId="23FD0CB4" w:rsidR="0017605D" w:rsidRPr="00B12EC9" w:rsidRDefault="0017605D" w:rsidP="008937A7">
            <w:pPr>
              <w:rPr>
                <w:sz w:val="20"/>
                <w:szCs w:val="20"/>
              </w:rPr>
            </w:pPr>
            <w:r w:rsidRPr="00B12EC9">
              <w:rPr>
                <w:sz w:val="20"/>
                <w:szCs w:val="20"/>
              </w:rPr>
              <w:t>Working in partnership with Housing Resident Services and Harrow’s Regist</w:t>
            </w:r>
            <w:r w:rsidR="00C64D28" w:rsidRPr="00B12EC9">
              <w:rPr>
                <w:sz w:val="20"/>
                <w:szCs w:val="20"/>
              </w:rPr>
              <w:t xml:space="preserve">ered Social Landlords (RSLs), </w:t>
            </w:r>
            <w:r w:rsidR="00C9774D" w:rsidRPr="00B12EC9">
              <w:rPr>
                <w:sz w:val="20"/>
                <w:szCs w:val="20"/>
              </w:rPr>
              <w:t>6</w:t>
            </w:r>
            <w:r w:rsidRPr="00B12EC9">
              <w:rPr>
                <w:sz w:val="20"/>
                <w:szCs w:val="20"/>
              </w:rPr>
              <w:t xml:space="preserve"> social housing tenancies were recovered resulting in notio</w:t>
            </w:r>
            <w:r w:rsidR="00C64D28" w:rsidRPr="00B12EC9">
              <w:rPr>
                <w:sz w:val="20"/>
                <w:szCs w:val="20"/>
              </w:rPr>
              <w:t xml:space="preserve">nal fraud savings </w:t>
            </w:r>
            <w:r w:rsidR="00056D11" w:rsidRPr="00B12EC9">
              <w:rPr>
                <w:sz w:val="20"/>
                <w:szCs w:val="20"/>
              </w:rPr>
              <w:t>of £</w:t>
            </w:r>
            <w:r w:rsidR="00796AA5" w:rsidRPr="00B12EC9">
              <w:rPr>
                <w:sz w:val="20"/>
                <w:szCs w:val="20"/>
              </w:rPr>
              <w:t>558,000</w:t>
            </w:r>
            <w:r w:rsidR="00EA237C">
              <w:rPr>
                <w:sz w:val="20"/>
                <w:szCs w:val="20"/>
              </w:rPr>
              <w:t xml:space="preserve">.  </w:t>
            </w:r>
          </w:p>
          <w:p w14:paraId="2908802A" w14:textId="77777777" w:rsidR="00A24053" w:rsidRPr="00B12EC9" w:rsidRDefault="00A24053" w:rsidP="008937A7">
            <w:pPr>
              <w:rPr>
                <w:sz w:val="20"/>
                <w:szCs w:val="20"/>
              </w:rPr>
            </w:pPr>
          </w:p>
          <w:p w14:paraId="4629852D" w14:textId="2D414A17" w:rsidR="0017605D" w:rsidRPr="00B12EC9" w:rsidRDefault="00C64D28" w:rsidP="008937A7">
            <w:pPr>
              <w:rPr>
                <w:b/>
                <w:sz w:val="20"/>
                <w:szCs w:val="20"/>
              </w:rPr>
            </w:pPr>
            <w:r w:rsidRPr="00B12EC9">
              <w:rPr>
                <w:b/>
                <w:sz w:val="20"/>
                <w:szCs w:val="20"/>
              </w:rPr>
              <w:t>KPI1 target 10, achieved</w:t>
            </w:r>
            <w:r w:rsidR="0017605D" w:rsidRPr="00B12EC9">
              <w:rPr>
                <w:b/>
                <w:sz w:val="20"/>
                <w:szCs w:val="20"/>
              </w:rPr>
              <w:t xml:space="preserve"> </w:t>
            </w:r>
            <w:r w:rsidR="00CB6441" w:rsidRPr="00B12EC9">
              <w:rPr>
                <w:b/>
                <w:sz w:val="20"/>
                <w:szCs w:val="20"/>
              </w:rPr>
              <w:t>6</w:t>
            </w:r>
            <w:r w:rsidRPr="00B12EC9">
              <w:rPr>
                <w:b/>
                <w:sz w:val="20"/>
                <w:szCs w:val="20"/>
              </w:rPr>
              <w:t xml:space="preserve"> (</w:t>
            </w:r>
            <w:r w:rsidR="00CB6441" w:rsidRPr="00B12EC9">
              <w:rPr>
                <w:b/>
                <w:sz w:val="20"/>
                <w:szCs w:val="20"/>
              </w:rPr>
              <w:t>6</w:t>
            </w:r>
            <w:r w:rsidRPr="00B12EC9">
              <w:rPr>
                <w:b/>
                <w:sz w:val="20"/>
                <w:szCs w:val="20"/>
              </w:rPr>
              <w:t>0</w:t>
            </w:r>
            <w:r w:rsidR="0017605D" w:rsidRPr="00B12EC9">
              <w:rPr>
                <w:b/>
                <w:sz w:val="20"/>
                <w:szCs w:val="20"/>
              </w:rPr>
              <w:t>%</w:t>
            </w:r>
            <w:r w:rsidR="00126878" w:rsidRPr="00B12EC9">
              <w:rPr>
                <w:b/>
                <w:sz w:val="20"/>
                <w:szCs w:val="20"/>
              </w:rPr>
              <w:t>)</w:t>
            </w:r>
          </w:p>
          <w:p w14:paraId="41E6F8D9" w14:textId="77777777" w:rsidR="0017605D" w:rsidRPr="00B12EC9" w:rsidRDefault="0017605D" w:rsidP="008937A7">
            <w:pPr>
              <w:rPr>
                <w:sz w:val="20"/>
                <w:szCs w:val="20"/>
              </w:rPr>
            </w:pPr>
          </w:p>
          <w:p w14:paraId="54E56D14" w14:textId="33330B19" w:rsidR="0017605D" w:rsidRPr="00B12EC9" w:rsidRDefault="0017605D" w:rsidP="008937A7">
            <w:pPr>
              <w:rPr>
                <w:b/>
                <w:sz w:val="20"/>
                <w:szCs w:val="20"/>
              </w:rPr>
            </w:pPr>
            <w:r w:rsidRPr="00B12EC9">
              <w:rPr>
                <w:b/>
                <w:sz w:val="20"/>
                <w:szCs w:val="20"/>
              </w:rPr>
              <w:t>Savi</w:t>
            </w:r>
            <w:r w:rsidR="00056D11" w:rsidRPr="00B12EC9">
              <w:rPr>
                <w:b/>
                <w:sz w:val="20"/>
                <w:szCs w:val="20"/>
              </w:rPr>
              <w:t>ngs subtotal achieved £</w:t>
            </w:r>
            <w:r w:rsidR="00126878" w:rsidRPr="00B12EC9">
              <w:rPr>
                <w:b/>
                <w:sz w:val="20"/>
                <w:szCs w:val="20"/>
              </w:rPr>
              <w:t>558,000</w:t>
            </w:r>
          </w:p>
          <w:p w14:paraId="009686B7" w14:textId="77777777" w:rsidR="0017605D" w:rsidRPr="00B12EC9" w:rsidRDefault="0017605D" w:rsidP="008937A7">
            <w:pPr>
              <w:rPr>
                <w:b/>
                <w:sz w:val="20"/>
                <w:szCs w:val="20"/>
              </w:rPr>
            </w:pPr>
          </w:p>
          <w:p w14:paraId="14AB5186" w14:textId="77777777" w:rsidR="00B12EC9" w:rsidRPr="00B12EC9" w:rsidRDefault="00B12EC9" w:rsidP="008937A7">
            <w:pPr>
              <w:rPr>
                <w:b/>
                <w:bCs/>
                <w:sz w:val="20"/>
                <w:szCs w:val="20"/>
              </w:rPr>
            </w:pPr>
            <w:r w:rsidRPr="00B12EC9">
              <w:rPr>
                <w:b/>
                <w:bCs/>
                <w:sz w:val="20"/>
                <w:szCs w:val="20"/>
              </w:rPr>
              <w:t xml:space="preserve">Housing applications work stream </w:t>
            </w:r>
          </w:p>
          <w:p w14:paraId="29BAC3EB" w14:textId="1FF85395" w:rsidR="0017605D" w:rsidRPr="00B12EC9" w:rsidRDefault="0017605D" w:rsidP="008937A7">
            <w:pPr>
              <w:rPr>
                <w:sz w:val="20"/>
                <w:szCs w:val="20"/>
              </w:rPr>
            </w:pPr>
            <w:r w:rsidRPr="00B12EC9">
              <w:rPr>
                <w:sz w:val="20"/>
                <w:szCs w:val="20"/>
              </w:rPr>
              <w:t>Housing Applications proactive exercise</w:t>
            </w:r>
            <w:r w:rsidR="00126878" w:rsidRPr="00B12EC9">
              <w:rPr>
                <w:sz w:val="20"/>
                <w:szCs w:val="20"/>
              </w:rPr>
              <w:t xml:space="preserve"> was </w:t>
            </w:r>
            <w:r w:rsidR="00AF5C65" w:rsidRPr="00B12EC9">
              <w:rPr>
                <w:sz w:val="20"/>
                <w:szCs w:val="20"/>
              </w:rPr>
              <w:t>commence</w:t>
            </w:r>
            <w:r w:rsidR="00126878" w:rsidRPr="00B12EC9">
              <w:rPr>
                <w:sz w:val="20"/>
                <w:szCs w:val="20"/>
              </w:rPr>
              <w:t>d</w:t>
            </w:r>
            <w:r w:rsidR="00AF5C65" w:rsidRPr="00B12EC9">
              <w:rPr>
                <w:sz w:val="20"/>
                <w:szCs w:val="20"/>
              </w:rPr>
              <w:t xml:space="preserve"> in Q4</w:t>
            </w:r>
            <w:r w:rsidR="00126878" w:rsidRPr="00B12EC9">
              <w:rPr>
                <w:sz w:val="20"/>
                <w:szCs w:val="20"/>
              </w:rPr>
              <w:t xml:space="preserve"> (desk based intelligence) but the visiting schedule was not possible to due to Covid-19</w:t>
            </w:r>
            <w:r w:rsidR="00AF5C65" w:rsidRPr="00B12EC9">
              <w:rPr>
                <w:sz w:val="20"/>
                <w:szCs w:val="20"/>
              </w:rPr>
              <w:t>.</w:t>
            </w:r>
            <w:r w:rsidR="00796AA5" w:rsidRPr="00B12EC9">
              <w:rPr>
                <w:sz w:val="20"/>
                <w:szCs w:val="20"/>
              </w:rPr>
              <w:t xml:space="preserve">  Consideration will be made </w:t>
            </w:r>
            <w:r w:rsidR="00B12EC9" w:rsidRPr="00B12EC9">
              <w:rPr>
                <w:sz w:val="20"/>
                <w:szCs w:val="20"/>
              </w:rPr>
              <w:t>in</w:t>
            </w:r>
            <w:r w:rsidR="00796AA5" w:rsidRPr="00B12EC9">
              <w:rPr>
                <w:sz w:val="20"/>
                <w:szCs w:val="20"/>
              </w:rPr>
              <w:t xml:space="preserve"> the 2020-21 plan to complete this work.</w:t>
            </w:r>
          </w:p>
          <w:p w14:paraId="7CFAD301" w14:textId="77777777" w:rsidR="00AF5C65" w:rsidRPr="00B12EC9" w:rsidRDefault="00AF5C65" w:rsidP="008937A7">
            <w:pPr>
              <w:rPr>
                <w:b/>
                <w:sz w:val="20"/>
                <w:szCs w:val="20"/>
              </w:rPr>
            </w:pPr>
          </w:p>
          <w:p w14:paraId="3D7DC164" w14:textId="391909D3" w:rsidR="0017605D" w:rsidRPr="00B12EC9" w:rsidRDefault="008F461C" w:rsidP="008937A7">
            <w:pPr>
              <w:rPr>
                <w:sz w:val="20"/>
                <w:szCs w:val="20"/>
              </w:rPr>
            </w:pPr>
            <w:r w:rsidRPr="00B12EC9">
              <w:rPr>
                <w:sz w:val="20"/>
                <w:szCs w:val="20"/>
              </w:rPr>
              <w:t xml:space="preserve">A total of </w:t>
            </w:r>
            <w:r w:rsidR="00796AA5" w:rsidRPr="00B12EC9">
              <w:rPr>
                <w:sz w:val="20"/>
                <w:szCs w:val="20"/>
              </w:rPr>
              <w:t>13</w:t>
            </w:r>
            <w:r w:rsidR="0017605D" w:rsidRPr="00B12EC9">
              <w:rPr>
                <w:sz w:val="20"/>
                <w:szCs w:val="20"/>
              </w:rPr>
              <w:t xml:space="preserve"> housing application referrals have been received </w:t>
            </w:r>
            <w:r w:rsidRPr="00B12EC9">
              <w:rPr>
                <w:sz w:val="20"/>
                <w:szCs w:val="20"/>
              </w:rPr>
              <w:t xml:space="preserve">by the team </w:t>
            </w:r>
            <w:r w:rsidR="0017605D" w:rsidRPr="00B12EC9">
              <w:rPr>
                <w:sz w:val="20"/>
                <w:szCs w:val="20"/>
              </w:rPr>
              <w:t xml:space="preserve">during the </w:t>
            </w:r>
            <w:r w:rsidRPr="00B12EC9">
              <w:rPr>
                <w:sz w:val="20"/>
                <w:szCs w:val="20"/>
              </w:rPr>
              <w:t xml:space="preserve">year </w:t>
            </w:r>
            <w:r w:rsidR="00796AA5" w:rsidRPr="00B12EC9">
              <w:rPr>
                <w:sz w:val="20"/>
                <w:szCs w:val="20"/>
              </w:rPr>
              <w:t xml:space="preserve">and 2 positive outcomes have been achieved where applications </w:t>
            </w:r>
            <w:r w:rsidR="00B12EC9" w:rsidRPr="00B12EC9">
              <w:rPr>
                <w:sz w:val="20"/>
                <w:szCs w:val="20"/>
              </w:rPr>
              <w:t xml:space="preserve">were </w:t>
            </w:r>
            <w:r w:rsidR="00796AA5" w:rsidRPr="00B12EC9">
              <w:rPr>
                <w:sz w:val="20"/>
                <w:szCs w:val="20"/>
              </w:rPr>
              <w:t>rejected on the basis that the applicant had provided false or misleading information.</w:t>
            </w:r>
          </w:p>
          <w:p w14:paraId="269106CD" w14:textId="24BEB167" w:rsidR="00796AA5" w:rsidRPr="00B12EC9" w:rsidRDefault="00796AA5" w:rsidP="008937A7">
            <w:pPr>
              <w:rPr>
                <w:sz w:val="20"/>
                <w:szCs w:val="20"/>
              </w:rPr>
            </w:pPr>
          </w:p>
          <w:p w14:paraId="42A88878" w14:textId="02CFB8F7" w:rsidR="00796AA5" w:rsidRPr="00B12EC9" w:rsidRDefault="00796AA5" w:rsidP="008937A7">
            <w:pPr>
              <w:rPr>
                <w:b/>
                <w:bCs/>
                <w:sz w:val="20"/>
                <w:szCs w:val="20"/>
              </w:rPr>
            </w:pPr>
            <w:r w:rsidRPr="00B12EC9">
              <w:rPr>
                <w:b/>
                <w:bCs/>
                <w:sz w:val="20"/>
                <w:szCs w:val="20"/>
              </w:rPr>
              <w:t>Savings sub total achieved £99,000</w:t>
            </w:r>
          </w:p>
          <w:p w14:paraId="1C70EA7A" w14:textId="77777777" w:rsidR="008F461C" w:rsidRPr="00B12EC9" w:rsidRDefault="008F461C" w:rsidP="008937A7">
            <w:pPr>
              <w:rPr>
                <w:sz w:val="20"/>
                <w:szCs w:val="20"/>
              </w:rPr>
            </w:pPr>
          </w:p>
          <w:p w14:paraId="32E0194C" w14:textId="77777777" w:rsidR="0017605D" w:rsidRPr="00B12EC9" w:rsidRDefault="0017605D" w:rsidP="008937A7">
            <w:pPr>
              <w:rPr>
                <w:b/>
                <w:sz w:val="20"/>
                <w:szCs w:val="20"/>
              </w:rPr>
            </w:pPr>
          </w:p>
          <w:p w14:paraId="5A373D51" w14:textId="174C0236" w:rsidR="009F4877" w:rsidRPr="00B12EC9" w:rsidRDefault="00A31D7E" w:rsidP="008937A7">
            <w:pPr>
              <w:rPr>
                <w:b/>
                <w:sz w:val="20"/>
                <w:szCs w:val="20"/>
              </w:rPr>
            </w:pPr>
            <w:r w:rsidRPr="00B12EC9">
              <w:rPr>
                <w:b/>
                <w:sz w:val="20"/>
                <w:szCs w:val="20"/>
              </w:rPr>
              <w:t>RTB work stream</w:t>
            </w:r>
          </w:p>
          <w:p w14:paraId="14383BEC" w14:textId="7AED037A" w:rsidR="0017605D" w:rsidRPr="00B12EC9" w:rsidRDefault="0017605D" w:rsidP="008937A7">
            <w:pPr>
              <w:rPr>
                <w:sz w:val="20"/>
                <w:szCs w:val="20"/>
              </w:rPr>
            </w:pPr>
            <w:r w:rsidRPr="00B12EC9">
              <w:rPr>
                <w:sz w:val="20"/>
                <w:szCs w:val="20"/>
              </w:rPr>
              <w:t>Working in partnerships with Leasehold Services, HB Public Law Se</w:t>
            </w:r>
            <w:r w:rsidR="008F461C" w:rsidRPr="00B12EC9">
              <w:rPr>
                <w:sz w:val="20"/>
                <w:szCs w:val="20"/>
              </w:rPr>
              <w:t xml:space="preserve">rvices and Housing Management, </w:t>
            </w:r>
            <w:r w:rsidR="00796AA5" w:rsidRPr="00B12EC9">
              <w:rPr>
                <w:sz w:val="20"/>
                <w:szCs w:val="20"/>
              </w:rPr>
              <w:t>6</w:t>
            </w:r>
            <w:r w:rsidRPr="00B12EC9">
              <w:rPr>
                <w:sz w:val="20"/>
                <w:szCs w:val="20"/>
              </w:rPr>
              <w:t xml:space="preserve"> RTB applications were intercepted saving the authority</w:t>
            </w:r>
            <w:r w:rsidR="008F461C" w:rsidRPr="00B12EC9">
              <w:rPr>
                <w:sz w:val="20"/>
                <w:szCs w:val="20"/>
              </w:rPr>
              <w:t xml:space="preserve"> £</w:t>
            </w:r>
            <w:r w:rsidR="00796AA5" w:rsidRPr="00B12EC9">
              <w:rPr>
                <w:sz w:val="20"/>
                <w:szCs w:val="20"/>
              </w:rPr>
              <w:t>658,000</w:t>
            </w:r>
            <w:r w:rsidRPr="00B12EC9">
              <w:rPr>
                <w:sz w:val="20"/>
                <w:szCs w:val="20"/>
              </w:rPr>
              <w:t xml:space="preserve"> in terms of purchase discount losses prevented. </w:t>
            </w:r>
          </w:p>
          <w:p w14:paraId="4C5F8B00" w14:textId="77777777" w:rsidR="0017605D" w:rsidRPr="00B12EC9" w:rsidRDefault="0017605D" w:rsidP="008937A7">
            <w:pPr>
              <w:rPr>
                <w:sz w:val="20"/>
                <w:szCs w:val="20"/>
              </w:rPr>
            </w:pPr>
          </w:p>
          <w:p w14:paraId="086456AB" w14:textId="77777777" w:rsidR="0017605D" w:rsidRPr="00B12EC9" w:rsidRDefault="0017605D" w:rsidP="008937A7">
            <w:pPr>
              <w:rPr>
                <w:sz w:val="20"/>
                <w:szCs w:val="20"/>
              </w:rPr>
            </w:pPr>
            <w:r w:rsidRPr="00B12EC9">
              <w:rPr>
                <w:sz w:val="20"/>
                <w:szCs w:val="20"/>
              </w:rPr>
              <w:t xml:space="preserve">These outcomes are due to applicants failing anti-money laundering checks (proving the source of funds) or following CAFT consultation with the lenders, the mortgage offer being withdrawn.  The team is continuing to make use of the National Hunter system allowing the authority to communicate with lenders lawfully for the prevention and detection of crime and referring cases where appropriate to the National Crime Agency (NCA).    </w:t>
            </w:r>
          </w:p>
          <w:p w14:paraId="0C5DA588" w14:textId="77777777" w:rsidR="0017605D" w:rsidRPr="00B12EC9" w:rsidRDefault="0017605D" w:rsidP="008937A7">
            <w:pPr>
              <w:rPr>
                <w:sz w:val="20"/>
                <w:szCs w:val="20"/>
              </w:rPr>
            </w:pPr>
          </w:p>
          <w:p w14:paraId="7FA409DA" w14:textId="31796248" w:rsidR="0017605D" w:rsidRPr="00B12EC9" w:rsidRDefault="0017605D" w:rsidP="008937A7">
            <w:pPr>
              <w:rPr>
                <w:b/>
                <w:sz w:val="20"/>
                <w:szCs w:val="20"/>
              </w:rPr>
            </w:pPr>
            <w:r w:rsidRPr="00B12EC9">
              <w:rPr>
                <w:b/>
                <w:sz w:val="20"/>
                <w:szCs w:val="20"/>
              </w:rPr>
              <w:t>KPI2 target 90%</w:t>
            </w:r>
            <w:r w:rsidR="00A31D7E" w:rsidRPr="00B12EC9">
              <w:rPr>
                <w:b/>
                <w:sz w:val="20"/>
                <w:szCs w:val="20"/>
              </w:rPr>
              <w:t>, achiev</w:t>
            </w:r>
            <w:r w:rsidR="00796AA5" w:rsidRPr="00B12EC9">
              <w:rPr>
                <w:b/>
                <w:sz w:val="20"/>
                <w:szCs w:val="20"/>
              </w:rPr>
              <w:t>ed</w:t>
            </w:r>
            <w:r w:rsidR="00A31D7E" w:rsidRPr="00B12EC9">
              <w:rPr>
                <w:b/>
                <w:sz w:val="20"/>
                <w:szCs w:val="20"/>
              </w:rPr>
              <w:t xml:space="preserve"> 100</w:t>
            </w:r>
            <w:r w:rsidR="00796AA5" w:rsidRPr="00B12EC9">
              <w:rPr>
                <w:b/>
                <w:sz w:val="20"/>
                <w:szCs w:val="20"/>
              </w:rPr>
              <w:t>%</w:t>
            </w:r>
          </w:p>
          <w:p w14:paraId="531AD9EB" w14:textId="77777777" w:rsidR="0017605D" w:rsidRPr="00B12EC9" w:rsidRDefault="0017605D" w:rsidP="008937A7">
            <w:pPr>
              <w:rPr>
                <w:sz w:val="20"/>
                <w:szCs w:val="20"/>
              </w:rPr>
            </w:pPr>
          </w:p>
          <w:p w14:paraId="4826F199" w14:textId="6ADBDD3F" w:rsidR="0017605D" w:rsidRPr="00B12EC9" w:rsidRDefault="0017605D" w:rsidP="008937A7">
            <w:pPr>
              <w:rPr>
                <w:b/>
                <w:sz w:val="20"/>
                <w:szCs w:val="20"/>
              </w:rPr>
            </w:pPr>
            <w:r w:rsidRPr="00B12EC9">
              <w:rPr>
                <w:b/>
                <w:sz w:val="20"/>
                <w:szCs w:val="20"/>
              </w:rPr>
              <w:t>Savings subtotal achieved £</w:t>
            </w:r>
            <w:r w:rsidR="00796AA5" w:rsidRPr="00B12EC9">
              <w:rPr>
                <w:b/>
                <w:sz w:val="20"/>
                <w:szCs w:val="20"/>
              </w:rPr>
              <w:t>658,000</w:t>
            </w:r>
          </w:p>
          <w:p w14:paraId="190F63A2" w14:textId="77777777" w:rsidR="0017605D" w:rsidRPr="00B12EC9" w:rsidRDefault="0017605D" w:rsidP="008937A7">
            <w:pPr>
              <w:rPr>
                <w:sz w:val="20"/>
                <w:szCs w:val="20"/>
              </w:rPr>
            </w:pPr>
          </w:p>
          <w:p w14:paraId="7E6E0AA6" w14:textId="66E4B8D4" w:rsidR="0017605D" w:rsidRPr="00B12EC9" w:rsidRDefault="0017605D" w:rsidP="00EF7582">
            <w:pPr>
              <w:rPr>
                <w:b/>
                <w:sz w:val="20"/>
                <w:szCs w:val="20"/>
              </w:rPr>
            </w:pPr>
            <w:r w:rsidRPr="00B12EC9">
              <w:rPr>
                <w:b/>
                <w:sz w:val="20"/>
                <w:szCs w:val="20"/>
              </w:rPr>
              <w:t xml:space="preserve">PoSHFA </w:t>
            </w:r>
            <w:r w:rsidR="004F1B1F" w:rsidRPr="00B12EC9">
              <w:rPr>
                <w:b/>
                <w:sz w:val="20"/>
                <w:szCs w:val="20"/>
              </w:rPr>
              <w:t>2013 Powers wor</w:t>
            </w:r>
            <w:r w:rsidR="00451955" w:rsidRPr="00B12EC9">
              <w:rPr>
                <w:b/>
                <w:sz w:val="20"/>
                <w:szCs w:val="20"/>
              </w:rPr>
              <w:t xml:space="preserve">k stream </w:t>
            </w:r>
          </w:p>
          <w:p w14:paraId="5E9B8979" w14:textId="133A6D7D" w:rsidR="0017605D" w:rsidRPr="00B12EC9" w:rsidRDefault="0017605D" w:rsidP="00EF7582">
            <w:pPr>
              <w:rPr>
                <w:sz w:val="20"/>
                <w:szCs w:val="20"/>
              </w:rPr>
            </w:pPr>
            <w:r w:rsidRPr="00B12EC9">
              <w:rPr>
                <w:sz w:val="20"/>
                <w:szCs w:val="20"/>
              </w:rPr>
              <w:t>The authority has utilised powers contained within the above act through requests to the National Anti Fraud Network (NAFN)</w:t>
            </w:r>
            <w:r w:rsidR="00EA237C">
              <w:rPr>
                <w:sz w:val="20"/>
                <w:szCs w:val="20"/>
              </w:rPr>
              <w:t xml:space="preserve"> regularly during the year.</w:t>
            </w:r>
            <w:r w:rsidRPr="00B12EC9">
              <w:rPr>
                <w:sz w:val="20"/>
                <w:szCs w:val="20"/>
              </w:rPr>
              <w:t xml:space="preserve"> </w:t>
            </w:r>
          </w:p>
          <w:p w14:paraId="0FF5DAE0" w14:textId="77777777" w:rsidR="0017605D" w:rsidRPr="00B12EC9" w:rsidRDefault="0017605D" w:rsidP="00EF7582">
            <w:pPr>
              <w:rPr>
                <w:sz w:val="20"/>
                <w:szCs w:val="20"/>
              </w:rPr>
            </w:pPr>
          </w:p>
          <w:p w14:paraId="65DA76C6" w14:textId="77777777" w:rsidR="0017605D" w:rsidRPr="00B12EC9" w:rsidRDefault="0017605D" w:rsidP="00EF7582">
            <w:pPr>
              <w:rPr>
                <w:sz w:val="20"/>
                <w:szCs w:val="20"/>
              </w:rPr>
            </w:pPr>
            <w:r w:rsidRPr="00B12EC9">
              <w:rPr>
                <w:sz w:val="20"/>
                <w:szCs w:val="20"/>
              </w:rPr>
              <w:t xml:space="preserve">If approved by NAFN, this enables the authority to access personal financial data held by the banks on individuals on cases of suspected tenancy sub-let, RTB and housing applications where there is doubt over the accuracy of the subject’s account of events     </w:t>
            </w:r>
          </w:p>
          <w:p w14:paraId="090B7B00" w14:textId="77777777" w:rsidR="0017605D" w:rsidRPr="00B12EC9" w:rsidRDefault="0017605D" w:rsidP="00EF7582">
            <w:pPr>
              <w:rPr>
                <w:b/>
                <w:sz w:val="20"/>
                <w:szCs w:val="20"/>
              </w:rPr>
            </w:pPr>
          </w:p>
          <w:p w14:paraId="187A6626" w14:textId="6386EDA7" w:rsidR="0017605D" w:rsidRPr="00B12EC9" w:rsidRDefault="0017605D" w:rsidP="00EF7582">
            <w:pPr>
              <w:rPr>
                <w:b/>
                <w:sz w:val="20"/>
                <w:szCs w:val="20"/>
              </w:rPr>
            </w:pPr>
            <w:r w:rsidRPr="00B12EC9">
              <w:rPr>
                <w:b/>
                <w:sz w:val="20"/>
                <w:szCs w:val="20"/>
              </w:rPr>
              <w:t>Overall fraud savings attributed to this work stream is £</w:t>
            </w:r>
            <w:r w:rsidR="00796AA5" w:rsidRPr="00B12EC9">
              <w:rPr>
                <w:b/>
                <w:sz w:val="20"/>
                <w:szCs w:val="20"/>
              </w:rPr>
              <w:t>1,315.000</w:t>
            </w:r>
          </w:p>
          <w:p w14:paraId="2AAD8DA8" w14:textId="77777777" w:rsidR="0017605D" w:rsidRPr="007C6042" w:rsidRDefault="0017605D" w:rsidP="00EF7582">
            <w:pPr>
              <w:rPr>
                <w:b/>
                <w:sz w:val="20"/>
                <w:szCs w:val="20"/>
              </w:rPr>
            </w:pPr>
          </w:p>
        </w:tc>
      </w:tr>
    </w:tbl>
    <w:p w14:paraId="71A9D1EA" w14:textId="77777777" w:rsidR="0069329D" w:rsidRDefault="0069329D">
      <w:r>
        <w:lastRenderedPageBreak/>
        <w:br w:type="page"/>
      </w:r>
    </w:p>
    <w:tbl>
      <w:tblPr>
        <w:tblW w:w="13183" w:type="dxa"/>
        <w:tblInd w:w="-34" w:type="dxa"/>
        <w:tblLayout w:type="fixed"/>
        <w:tblLook w:val="0000" w:firstRow="0" w:lastRow="0" w:firstColumn="0" w:lastColumn="0" w:noHBand="0" w:noVBand="0"/>
      </w:tblPr>
      <w:tblGrid>
        <w:gridCol w:w="576"/>
        <w:gridCol w:w="3961"/>
        <w:gridCol w:w="8646"/>
      </w:tblGrid>
      <w:tr w:rsidR="0069329D" w:rsidRPr="00380629" w14:paraId="2FD9F012" w14:textId="77777777" w:rsidTr="0069329D">
        <w:trPr>
          <w:trHeight w:val="251"/>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1AE70362" w14:textId="77777777" w:rsidR="0069329D" w:rsidRPr="0069329D" w:rsidRDefault="0069329D" w:rsidP="004E23DA">
            <w:pPr>
              <w:rPr>
                <w:sz w:val="20"/>
                <w:szCs w:val="20"/>
              </w:rPr>
            </w:pPr>
          </w:p>
        </w:tc>
        <w:tc>
          <w:tcPr>
            <w:tcW w:w="3961" w:type="dxa"/>
            <w:tcBorders>
              <w:top w:val="single" w:sz="4" w:space="0" w:color="auto"/>
              <w:left w:val="single" w:sz="4" w:space="0" w:color="auto"/>
              <w:bottom w:val="single" w:sz="4" w:space="0" w:color="auto"/>
              <w:right w:val="single" w:sz="4" w:space="0" w:color="auto"/>
            </w:tcBorders>
            <w:shd w:val="clear" w:color="auto" w:fill="002060"/>
            <w:noWrap/>
          </w:tcPr>
          <w:p w14:paraId="2B79865E" w14:textId="77777777" w:rsidR="0069329D" w:rsidRPr="0069329D" w:rsidRDefault="0069329D" w:rsidP="004E23DA">
            <w:pPr>
              <w:rPr>
                <w:b/>
                <w:sz w:val="20"/>
                <w:szCs w:val="20"/>
              </w:rPr>
            </w:pPr>
          </w:p>
          <w:p w14:paraId="70248DBA" w14:textId="77777777" w:rsidR="0069329D" w:rsidRPr="0069329D" w:rsidRDefault="0069329D" w:rsidP="004E23DA">
            <w:pPr>
              <w:rPr>
                <w:b/>
                <w:sz w:val="20"/>
                <w:szCs w:val="20"/>
              </w:rPr>
            </w:pPr>
            <w:r w:rsidRPr="0069329D">
              <w:rPr>
                <w:b/>
                <w:sz w:val="20"/>
                <w:szCs w:val="20"/>
              </w:rPr>
              <w:t>Fraud work stream</w:t>
            </w:r>
          </w:p>
          <w:p w14:paraId="455E00A5" w14:textId="77777777" w:rsidR="0069329D" w:rsidRPr="0069329D" w:rsidRDefault="0069329D" w:rsidP="004E23DA">
            <w:pPr>
              <w:rPr>
                <w:b/>
                <w:sz w:val="20"/>
                <w:szCs w:val="20"/>
              </w:rPr>
            </w:pPr>
          </w:p>
        </w:tc>
        <w:tc>
          <w:tcPr>
            <w:tcW w:w="8646" w:type="dxa"/>
            <w:tcBorders>
              <w:top w:val="single" w:sz="4" w:space="0" w:color="auto"/>
              <w:left w:val="nil"/>
              <w:bottom w:val="single" w:sz="4" w:space="0" w:color="auto"/>
              <w:right w:val="single" w:sz="4" w:space="0" w:color="auto"/>
            </w:tcBorders>
            <w:shd w:val="clear" w:color="auto" w:fill="002060"/>
          </w:tcPr>
          <w:p w14:paraId="424B9F52" w14:textId="77777777" w:rsidR="0069329D" w:rsidRDefault="0069329D" w:rsidP="004E23DA">
            <w:pPr>
              <w:rPr>
                <w:b/>
                <w:sz w:val="20"/>
                <w:szCs w:val="20"/>
              </w:rPr>
            </w:pPr>
          </w:p>
          <w:p w14:paraId="6A2BDD69" w14:textId="77777777" w:rsidR="0069329D" w:rsidRPr="0069329D" w:rsidRDefault="00FB1137" w:rsidP="004E23DA">
            <w:pPr>
              <w:rPr>
                <w:b/>
                <w:sz w:val="20"/>
                <w:szCs w:val="20"/>
              </w:rPr>
            </w:pPr>
            <w:r>
              <w:rPr>
                <w:b/>
                <w:bCs/>
                <w:sz w:val="20"/>
                <w:szCs w:val="20"/>
                <w:lang w:val="en-US"/>
              </w:rPr>
              <w:t xml:space="preserve">2019-20 </w:t>
            </w:r>
            <w:r w:rsidR="00110C22">
              <w:rPr>
                <w:b/>
                <w:bCs/>
                <w:sz w:val="20"/>
                <w:szCs w:val="20"/>
                <w:lang w:val="en-US"/>
              </w:rPr>
              <w:t>Year end outcome</w:t>
            </w:r>
          </w:p>
        </w:tc>
      </w:tr>
      <w:tr w:rsidR="0017605D" w:rsidRPr="005F0B23" w14:paraId="2277B1F4"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56DB9DBB" w14:textId="77777777" w:rsidR="0017605D" w:rsidRPr="005F0B23" w:rsidRDefault="00930342" w:rsidP="007816FE">
            <w:pPr>
              <w:rPr>
                <w:sz w:val="20"/>
                <w:szCs w:val="20"/>
              </w:rPr>
            </w:pPr>
            <w:r>
              <w:rPr>
                <w:sz w:val="20"/>
                <w:szCs w:val="20"/>
              </w:rPr>
              <w:t>13</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423EFBCE" w14:textId="77777777" w:rsidR="0017605D" w:rsidRPr="007C6042" w:rsidRDefault="0017605D" w:rsidP="007816FE">
            <w:pPr>
              <w:rPr>
                <w:b/>
                <w:sz w:val="20"/>
                <w:szCs w:val="20"/>
              </w:rPr>
            </w:pPr>
            <w:r w:rsidRPr="007C6042">
              <w:rPr>
                <w:b/>
                <w:sz w:val="20"/>
                <w:szCs w:val="20"/>
              </w:rPr>
              <w:t>Internal fraud &amp; corruption</w:t>
            </w:r>
          </w:p>
          <w:p w14:paraId="054EE4C2" w14:textId="77777777" w:rsidR="0017605D" w:rsidRPr="007C6042" w:rsidRDefault="0017605D" w:rsidP="007816FE">
            <w:pPr>
              <w:rPr>
                <w:b/>
                <w:sz w:val="20"/>
                <w:szCs w:val="20"/>
              </w:rPr>
            </w:pPr>
          </w:p>
          <w:p w14:paraId="3EAA8E90" w14:textId="77777777" w:rsidR="0017605D" w:rsidRPr="007C6042" w:rsidRDefault="0017605D" w:rsidP="00CA78FA">
            <w:pPr>
              <w:rPr>
                <w:sz w:val="20"/>
                <w:szCs w:val="20"/>
                <w:lang w:val="en-US"/>
              </w:rPr>
            </w:pPr>
            <w:r w:rsidRPr="007C6042">
              <w:rPr>
                <w:sz w:val="20"/>
                <w:szCs w:val="20"/>
                <w:lang w:val="en-US"/>
              </w:rPr>
              <w:t xml:space="preserve">Risk assess 80% allegations of internal fraud and corruption as a priority and deploy resources on those cases where there is corroborative evidence within an average of 5 workings days of receipt of the information (KPI3).     </w:t>
            </w:r>
          </w:p>
          <w:p w14:paraId="302C0AF9" w14:textId="77777777" w:rsidR="0017605D" w:rsidRPr="007C6042" w:rsidRDefault="0017605D" w:rsidP="007816FE">
            <w:pPr>
              <w:rPr>
                <w:b/>
                <w:sz w:val="20"/>
                <w:szCs w:val="20"/>
              </w:rPr>
            </w:pPr>
          </w:p>
        </w:tc>
        <w:tc>
          <w:tcPr>
            <w:tcW w:w="8646" w:type="dxa"/>
            <w:tcBorders>
              <w:top w:val="single" w:sz="4" w:space="0" w:color="auto"/>
              <w:left w:val="nil"/>
              <w:bottom w:val="single" w:sz="4" w:space="0" w:color="auto"/>
              <w:right w:val="single" w:sz="4" w:space="0" w:color="auto"/>
            </w:tcBorders>
            <w:shd w:val="clear" w:color="auto" w:fill="auto"/>
          </w:tcPr>
          <w:p w14:paraId="24ADB213" w14:textId="3FE92622" w:rsidR="00A51906" w:rsidRPr="007927F2" w:rsidRDefault="00A51906" w:rsidP="00D7770D">
            <w:pPr>
              <w:rPr>
                <w:b/>
                <w:sz w:val="20"/>
                <w:szCs w:val="20"/>
              </w:rPr>
            </w:pPr>
            <w:r w:rsidRPr="007927F2">
              <w:rPr>
                <w:b/>
                <w:sz w:val="20"/>
                <w:szCs w:val="20"/>
              </w:rPr>
              <w:t xml:space="preserve">Objective </w:t>
            </w:r>
            <w:r w:rsidR="001E7C5E" w:rsidRPr="007927F2">
              <w:rPr>
                <w:b/>
                <w:sz w:val="20"/>
                <w:szCs w:val="20"/>
              </w:rPr>
              <w:t>achie</w:t>
            </w:r>
            <w:r w:rsidR="00DE6E98" w:rsidRPr="007927F2">
              <w:rPr>
                <w:b/>
                <w:sz w:val="20"/>
                <w:szCs w:val="20"/>
              </w:rPr>
              <w:t>ved</w:t>
            </w:r>
          </w:p>
          <w:p w14:paraId="36953E8C" w14:textId="77777777" w:rsidR="0017605D" w:rsidRPr="007927F2" w:rsidRDefault="0017605D" w:rsidP="00D7770D">
            <w:pPr>
              <w:rPr>
                <w:sz w:val="20"/>
                <w:szCs w:val="20"/>
              </w:rPr>
            </w:pPr>
            <w:r w:rsidRPr="007927F2">
              <w:rPr>
                <w:sz w:val="20"/>
                <w:szCs w:val="20"/>
              </w:rPr>
              <w:t xml:space="preserve"> </w:t>
            </w:r>
          </w:p>
          <w:p w14:paraId="168D4AD1" w14:textId="37909D0C" w:rsidR="0017605D" w:rsidRPr="007927F2" w:rsidRDefault="0017605D" w:rsidP="000E3A61">
            <w:pPr>
              <w:rPr>
                <w:sz w:val="20"/>
                <w:szCs w:val="20"/>
              </w:rPr>
            </w:pPr>
            <w:r w:rsidRPr="007927F2">
              <w:rPr>
                <w:sz w:val="20"/>
                <w:szCs w:val="20"/>
              </w:rPr>
              <w:t xml:space="preserve">Of the </w:t>
            </w:r>
            <w:r w:rsidR="00796AA5" w:rsidRPr="007927F2">
              <w:rPr>
                <w:sz w:val="20"/>
                <w:szCs w:val="20"/>
              </w:rPr>
              <w:t>8</w:t>
            </w:r>
            <w:r w:rsidRPr="007927F2">
              <w:rPr>
                <w:sz w:val="20"/>
                <w:szCs w:val="20"/>
              </w:rPr>
              <w:t xml:space="preserve"> internal fraud referrals received all </w:t>
            </w:r>
            <w:r w:rsidR="00796AA5" w:rsidRPr="007927F2">
              <w:rPr>
                <w:sz w:val="20"/>
                <w:szCs w:val="20"/>
              </w:rPr>
              <w:t>8</w:t>
            </w:r>
            <w:r w:rsidR="00D41812" w:rsidRPr="007927F2">
              <w:rPr>
                <w:sz w:val="20"/>
                <w:szCs w:val="20"/>
              </w:rPr>
              <w:t xml:space="preserve"> </w:t>
            </w:r>
            <w:r w:rsidRPr="007927F2">
              <w:rPr>
                <w:sz w:val="20"/>
                <w:szCs w:val="20"/>
              </w:rPr>
              <w:t xml:space="preserve">were risk assessed and resources allocated in 5 working days. </w:t>
            </w:r>
          </w:p>
          <w:p w14:paraId="457BF21E" w14:textId="77777777" w:rsidR="0017605D" w:rsidRPr="007927F2" w:rsidRDefault="0017605D" w:rsidP="000E3A61">
            <w:pPr>
              <w:rPr>
                <w:sz w:val="20"/>
                <w:szCs w:val="20"/>
              </w:rPr>
            </w:pPr>
          </w:p>
          <w:p w14:paraId="3F043999" w14:textId="77777777" w:rsidR="0017605D" w:rsidRPr="007927F2" w:rsidRDefault="00A31D7E" w:rsidP="000E3A61">
            <w:pPr>
              <w:rPr>
                <w:b/>
                <w:sz w:val="20"/>
                <w:szCs w:val="20"/>
              </w:rPr>
            </w:pPr>
            <w:r w:rsidRPr="007927F2">
              <w:rPr>
                <w:b/>
                <w:sz w:val="20"/>
                <w:szCs w:val="20"/>
              </w:rPr>
              <w:t>KPI3 target 80%, achiev</w:t>
            </w:r>
            <w:r w:rsidR="00110C22" w:rsidRPr="007927F2">
              <w:rPr>
                <w:b/>
                <w:sz w:val="20"/>
                <w:szCs w:val="20"/>
              </w:rPr>
              <w:t>ed</w:t>
            </w:r>
            <w:r w:rsidR="0017605D" w:rsidRPr="007927F2">
              <w:rPr>
                <w:b/>
                <w:sz w:val="20"/>
                <w:szCs w:val="20"/>
              </w:rPr>
              <w:t xml:space="preserve"> 100%.</w:t>
            </w:r>
          </w:p>
          <w:p w14:paraId="20226E1D" w14:textId="77777777" w:rsidR="0017605D" w:rsidRPr="007927F2" w:rsidRDefault="0017605D" w:rsidP="000E3A61">
            <w:pPr>
              <w:rPr>
                <w:sz w:val="20"/>
                <w:szCs w:val="20"/>
              </w:rPr>
            </w:pPr>
            <w:r w:rsidRPr="007927F2">
              <w:rPr>
                <w:sz w:val="20"/>
                <w:szCs w:val="20"/>
              </w:rPr>
              <w:t xml:space="preserve">  </w:t>
            </w:r>
          </w:p>
          <w:p w14:paraId="63E7059B" w14:textId="612E56DE" w:rsidR="0017605D" w:rsidRPr="007927F2" w:rsidRDefault="00D31457" w:rsidP="00D7770D">
            <w:pPr>
              <w:rPr>
                <w:sz w:val="20"/>
                <w:szCs w:val="20"/>
              </w:rPr>
            </w:pPr>
            <w:r w:rsidRPr="007927F2">
              <w:rPr>
                <w:sz w:val="20"/>
                <w:szCs w:val="20"/>
              </w:rPr>
              <w:t xml:space="preserve">There </w:t>
            </w:r>
            <w:r w:rsidR="00D41812" w:rsidRPr="007927F2">
              <w:rPr>
                <w:sz w:val="20"/>
                <w:szCs w:val="20"/>
              </w:rPr>
              <w:t>ha</w:t>
            </w:r>
            <w:r w:rsidR="007927F2" w:rsidRPr="007927F2">
              <w:rPr>
                <w:sz w:val="20"/>
                <w:szCs w:val="20"/>
              </w:rPr>
              <w:t>ve</w:t>
            </w:r>
            <w:r w:rsidR="00D41812" w:rsidRPr="007927F2">
              <w:rPr>
                <w:sz w:val="20"/>
                <w:szCs w:val="20"/>
              </w:rPr>
              <w:t xml:space="preserve"> </w:t>
            </w:r>
            <w:r w:rsidRPr="007927F2">
              <w:rPr>
                <w:sz w:val="20"/>
                <w:szCs w:val="20"/>
              </w:rPr>
              <w:t xml:space="preserve">been </w:t>
            </w:r>
            <w:r w:rsidR="004E368B" w:rsidRPr="007927F2">
              <w:rPr>
                <w:sz w:val="20"/>
                <w:szCs w:val="20"/>
              </w:rPr>
              <w:t>2</w:t>
            </w:r>
            <w:r w:rsidRPr="007927F2">
              <w:rPr>
                <w:sz w:val="20"/>
                <w:szCs w:val="20"/>
              </w:rPr>
              <w:t xml:space="preserve"> </w:t>
            </w:r>
            <w:r w:rsidR="00D41812" w:rsidRPr="007927F2">
              <w:rPr>
                <w:sz w:val="20"/>
                <w:szCs w:val="20"/>
              </w:rPr>
              <w:t>positive outcome</w:t>
            </w:r>
            <w:r w:rsidR="001B696A">
              <w:rPr>
                <w:sz w:val="20"/>
                <w:szCs w:val="20"/>
              </w:rPr>
              <w:t>s</w:t>
            </w:r>
            <w:r w:rsidR="0017605D" w:rsidRPr="007927F2">
              <w:rPr>
                <w:sz w:val="20"/>
                <w:szCs w:val="20"/>
              </w:rPr>
              <w:t xml:space="preserve"> during the year.</w:t>
            </w:r>
          </w:p>
          <w:p w14:paraId="30CEF88E" w14:textId="77777777" w:rsidR="0017605D" w:rsidRPr="007927F2" w:rsidRDefault="0017605D" w:rsidP="00D7770D">
            <w:pPr>
              <w:rPr>
                <w:sz w:val="20"/>
                <w:szCs w:val="20"/>
              </w:rPr>
            </w:pPr>
          </w:p>
          <w:p w14:paraId="0F2232FC" w14:textId="2BF5B27B" w:rsidR="0017605D" w:rsidRPr="007927F2" w:rsidRDefault="00D41812" w:rsidP="00D7770D">
            <w:pPr>
              <w:rPr>
                <w:sz w:val="20"/>
                <w:szCs w:val="20"/>
              </w:rPr>
            </w:pPr>
            <w:r w:rsidRPr="007927F2">
              <w:rPr>
                <w:sz w:val="20"/>
                <w:szCs w:val="20"/>
              </w:rPr>
              <w:t>An employee</w:t>
            </w:r>
            <w:r w:rsidR="0017605D" w:rsidRPr="007927F2">
              <w:rPr>
                <w:sz w:val="20"/>
                <w:szCs w:val="20"/>
              </w:rPr>
              <w:t xml:space="preserve"> was arrested in April 2018 and dismissed in June 2018 foll</w:t>
            </w:r>
            <w:r w:rsidRPr="007927F2">
              <w:rPr>
                <w:sz w:val="20"/>
                <w:szCs w:val="20"/>
              </w:rPr>
              <w:t>owing misuse of a company purchase card</w:t>
            </w:r>
            <w:r w:rsidR="0017605D" w:rsidRPr="007927F2">
              <w:rPr>
                <w:sz w:val="20"/>
                <w:szCs w:val="20"/>
              </w:rPr>
              <w:t xml:space="preserve"> resulting in salary savings of £19,890.</w:t>
            </w:r>
            <w:r w:rsidR="00D31457" w:rsidRPr="007927F2">
              <w:rPr>
                <w:sz w:val="20"/>
                <w:szCs w:val="20"/>
              </w:rPr>
              <w:t xml:space="preserve">  This was reported previously to the Committee.</w:t>
            </w:r>
            <w:r w:rsidR="0017605D" w:rsidRPr="007927F2">
              <w:rPr>
                <w:sz w:val="20"/>
                <w:szCs w:val="20"/>
              </w:rPr>
              <w:t xml:space="preserve">  </w:t>
            </w:r>
            <w:r w:rsidRPr="007927F2">
              <w:rPr>
                <w:sz w:val="20"/>
                <w:szCs w:val="20"/>
              </w:rPr>
              <w:t>On 16</w:t>
            </w:r>
            <w:r w:rsidRPr="007927F2">
              <w:rPr>
                <w:sz w:val="20"/>
                <w:szCs w:val="20"/>
                <w:vertAlign w:val="superscript"/>
              </w:rPr>
              <w:t>th</w:t>
            </w:r>
            <w:r w:rsidRPr="007927F2">
              <w:rPr>
                <w:sz w:val="20"/>
                <w:szCs w:val="20"/>
              </w:rPr>
              <w:t xml:space="preserve"> July 2019, they were convicted at Willesden Magistrates Court of fraud amounting to £494.42 and sentenced to 200 hours of unpaid work </w:t>
            </w:r>
            <w:r w:rsidR="00A24053" w:rsidRPr="007927F2">
              <w:rPr>
                <w:sz w:val="20"/>
                <w:szCs w:val="20"/>
              </w:rPr>
              <w:t>to be complete within 12 months</w:t>
            </w:r>
            <w:r w:rsidRPr="007927F2">
              <w:rPr>
                <w:sz w:val="20"/>
                <w:szCs w:val="20"/>
              </w:rPr>
              <w:t xml:space="preserve"> and a compensation order to repay</w:t>
            </w:r>
            <w:r w:rsidR="00D31457" w:rsidRPr="007927F2">
              <w:rPr>
                <w:sz w:val="20"/>
                <w:szCs w:val="20"/>
              </w:rPr>
              <w:t xml:space="preserve"> </w:t>
            </w:r>
            <w:r w:rsidRPr="007927F2">
              <w:rPr>
                <w:sz w:val="20"/>
                <w:szCs w:val="20"/>
              </w:rPr>
              <w:t>the full loss amount to the authority.</w:t>
            </w:r>
          </w:p>
          <w:p w14:paraId="0BCCE5DD" w14:textId="4E9B0635" w:rsidR="004E368B" w:rsidRPr="007927F2" w:rsidRDefault="004E368B" w:rsidP="00D7770D">
            <w:pPr>
              <w:rPr>
                <w:sz w:val="20"/>
                <w:szCs w:val="20"/>
              </w:rPr>
            </w:pPr>
          </w:p>
          <w:p w14:paraId="2C49FE90" w14:textId="5EF7FBA1" w:rsidR="004E368B" w:rsidRPr="007927F2" w:rsidRDefault="004E368B" w:rsidP="00D7770D">
            <w:pPr>
              <w:rPr>
                <w:sz w:val="20"/>
                <w:szCs w:val="20"/>
              </w:rPr>
            </w:pPr>
            <w:r w:rsidRPr="007927F2">
              <w:rPr>
                <w:sz w:val="20"/>
                <w:szCs w:val="20"/>
              </w:rPr>
              <w:t>In the second case, a former employee already dismiss</w:t>
            </w:r>
            <w:r w:rsidR="001F2AF9" w:rsidRPr="007927F2">
              <w:rPr>
                <w:sz w:val="20"/>
                <w:szCs w:val="20"/>
              </w:rPr>
              <w:t>ed</w:t>
            </w:r>
            <w:r w:rsidRPr="007927F2">
              <w:rPr>
                <w:sz w:val="20"/>
                <w:szCs w:val="20"/>
              </w:rPr>
              <w:t xml:space="preserve"> and successfully prosecuted </w:t>
            </w:r>
            <w:r w:rsidR="001F2AF9" w:rsidRPr="007927F2">
              <w:rPr>
                <w:sz w:val="20"/>
                <w:szCs w:val="20"/>
              </w:rPr>
              <w:t xml:space="preserve">for fraud </w:t>
            </w:r>
            <w:r w:rsidRPr="007927F2">
              <w:rPr>
                <w:sz w:val="20"/>
                <w:szCs w:val="20"/>
              </w:rPr>
              <w:t xml:space="preserve">was the subject of a successful Proceeds of Crime Act </w:t>
            </w:r>
            <w:r w:rsidR="001F2AF9" w:rsidRPr="007927F2">
              <w:rPr>
                <w:sz w:val="20"/>
                <w:szCs w:val="20"/>
              </w:rPr>
              <w:t xml:space="preserve">(POCA) </w:t>
            </w:r>
            <w:r w:rsidRPr="007927F2">
              <w:rPr>
                <w:sz w:val="20"/>
                <w:szCs w:val="20"/>
              </w:rPr>
              <w:t xml:space="preserve">order where the court made an order that the </w:t>
            </w:r>
            <w:r w:rsidR="001F2AF9" w:rsidRPr="007927F2">
              <w:rPr>
                <w:sz w:val="20"/>
                <w:szCs w:val="20"/>
              </w:rPr>
              <w:t xml:space="preserve">value of the </w:t>
            </w:r>
            <w:r w:rsidR="007927F2" w:rsidRPr="007927F2">
              <w:rPr>
                <w:sz w:val="20"/>
                <w:szCs w:val="20"/>
              </w:rPr>
              <w:t xml:space="preserve">authority </w:t>
            </w:r>
            <w:r w:rsidR="001F2AF9" w:rsidRPr="007927F2">
              <w:rPr>
                <w:sz w:val="20"/>
                <w:szCs w:val="20"/>
              </w:rPr>
              <w:t>pension was to be paid across to the authority to pay towards the debt.  The pension value was £75,102.10</w:t>
            </w:r>
          </w:p>
          <w:p w14:paraId="2E0AA765" w14:textId="77777777" w:rsidR="0017605D" w:rsidRPr="007927F2" w:rsidRDefault="0017605D" w:rsidP="003C572F">
            <w:pPr>
              <w:rPr>
                <w:sz w:val="20"/>
                <w:szCs w:val="20"/>
              </w:rPr>
            </w:pPr>
          </w:p>
          <w:p w14:paraId="69C489DB" w14:textId="53D8D241" w:rsidR="0017605D" w:rsidRPr="007927F2" w:rsidRDefault="0017605D" w:rsidP="0012186B">
            <w:pPr>
              <w:rPr>
                <w:b/>
                <w:sz w:val="20"/>
                <w:szCs w:val="20"/>
              </w:rPr>
            </w:pPr>
            <w:r w:rsidRPr="007927F2">
              <w:rPr>
                <w:b/>
                <w:sz w:val="20"/>
                <w:szCs w:val="20"/>
              </w:rPr>
              <w:t>Overall fraud savings attributed</w:t>
            </w:r>
            <w:r w:rsidR="00D41812" w:rsidRPr="007927F2">
              <w:rPr>
                <w:b/>
                <w:sz w:val="20"/>
                <w:szCs w:val="20"/>
              </w:rPr>
              <w:t xml:space="preserve"> to this work stream is £</w:t>
            </w:r>
            <w:r w:rsidR="001F2AF9" w:rsidRPr="007927F2">
              <w:rPr>
                <w:b/>
                <w:sz w:val="20"/>
                <w:szCs w:val="20"/>
              </w:rPr>
              <w:t>75,596.52</w:t>
            </w:r>
            <w:r w:rsidR="00D41812" w:rsidRPr="007927F2">
              <w:rPr>
                <w:b/>
                <w:sz w:val="20"/>
                <w:szCs w:val="20"/>
              </w:rPr>
              <w:t xml:space="preserve"> plus £80 costs</w:t>
            </w:r>
            <w:r w:rsidRPr="007927F2">
              <w:rPr>
                <w:b/>
                <w:sz w:val="20"/>
                <w:szCs w:val="20"/>
              </w:rPr>
              <w:t xml:space="preserve"> </w:t>
            </w:r>
          </w:p>
          <w:p w14:paraId="33E9914B" w14:textId="77777777" w:rsidR="0017605D" w:rsidRPr="00AB098A" w:rsidRDefault="0017605D" w:rsidP="0012186B">
            <w:pPr>
              <w:rPr>
                <w:b/>
                <w:color w:val="FF0000"/>
                <w:sz w:val="20"/>
                <w:szCs w:val="20"/>
              </w:rPr>
            </w:pPr>
          </w:p>
        </w:tc>
      </w:tr>
      <w:tr w:rsidR="0017605D" w:rsidRPr="006B4ED5" w14:paraId="19F73444"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64F2B0F5" w14:textId="77777777" w:rsidR="0017605D" w:rsidRPr="006B4ED5" w:rsidRDefault="00930342" w:rsidP="007816FE">
            <w:pPr>
              <w:rPr>
                <w:sz w:val="20"/>
                <w:szCs w:val="20"/>
                <w:lang w:val="en-US"/>
              </w:rPr>
            </w:pPr>
            <w:r>
              <w:rPr>
                <w:sz w:val="20"/>
                <w:szCs w:val="20"/>
                <w:lang w:val="en-US"/>
              </w:rPr>
              <w:t>14</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4D7BA69B" w14:textId="77777777" w:rsidR="0017605D" w:rsidRPr="007C6042" w:rsidRDefault="0017605D" w:rsidP="007816FE">
            <w:pPr>
              <w:rPr>
                <w:b/>
                <w:sz w:val="20"/>
                <w:szCs w:val="20"/>
                <w:lang w:val="en-US"/>
              </w:rPr>
            </w:pPr>
            <w:r w:rsidRPr="007C6042">
              <w:rPr>
                <w:b/>
                <w:sz w:val="20"/>
                <w:szCs w:val="20"/>
                <w:lang w:val="en-US"/>
              </w:rPr>
              <w:t>Revenues/Business Rates/Council Tax Support fraud</w:t>
            </w:r>
          </w:p>
          <w:p w14:paraId="1BB36EF7" w14:textId="77777777" w:rsidR="0017605D" w:rsidRPr="007C6042" w:rsidRDefault="0017605D" w:rsidP="007816FE">
            <w:pPr>
              <w:rPr>
                <w:b/>
                <w:sz w:val="20"/>
                <w:szCs w:val="20"/>
                <w:lang w:val="en-US"/>
              </w:rPr>
            </w:pPr>
          </w:p>
          <w:p w14:paraId="4DB4A75C" w14:textId="77777777" w:rsidR="0017605D" w:rsidRPr="007C6042" w:rsidRDefault="0017605D" w:rsidP="00CA78FA">
            <w:pPr>
              <w:rPr>
                <w:sz w:val="20"/>
                <w:szCs w:val="20"/>
                <w:lang w:val="en-US"/>
              </w:rPr>
            </w:pPr>
            <w:r w:rsidRPr="007C6042">
              <w:rPr>
                <w:sz w:val="20"/>
                <w:szCs w:val="20"/>
                <w:lang w:val="en-US"/>
              </w:rPr>
              <w:t>Work in partnership with Revenues and Benefits to investigate allegations of fraud and abuse on a risk basis of the Council Tax, Council Tax Support and Non Domestic Rates Systems, including exemptions, discounts and reliefs, apply appropriate sanctions where fraud is proven and assist in the recovery of fraud related losses</w:t>
            </w:r>
          </w:p>
          <w:p w14:paraId="26856604" w14:textId="77777777" w:rsidR="0017605D" w:rsidRPr="007C6042" w:rsidRDefault="0017605D" w:rsidP="007816FE">
            <w:pPr>
              <w:rPr>
                <w:b/>
                <w:sz w:val="20"/>
                <w:szCs w:val="20"/>
                <w:lang w:val="en-US"/>
              </w:rPr>
            </w:pPr>
          </w:p>
        </w:tc>
        <w:tc>
          <w:tcPr>
            <w:tcW w:w="8646" w:type="dxa"/>
            <w:tcBorders>
              <w:top w:val="single" w:sz="4" w:space="0" w:color="auto"/>
              <w:left w:val="nil"/>
              <w:bottom w:val="single" w:sz="4" w:space="0" w:color="auto"/>
              <w:right w:val="single" w:sz="4" w:space="0" w:color="auto"/>
            </w:tcBorders>
            <w:shd w:val="clear" w:color="auto" w:fill="auto"/>
          </w:tcPr>
          <w:p w14:paraId="66A76903" w14:textId="125269DC" w:rsidR="0017605D" w:rsidRPr="001B696A" w:rsidRDefault="00A51906" w:rsidP="00EF7582">
            <w:pPr>
              <w:rPr>
                <w:b/>
                <w:sz w:val="20"/>
                <w:szCs w:val="20"/>
                <w:lang w:val="en-US"/>
              </w:rPr>
            </w:pPr>
            <w:r w:rsidRPr="001B696A">
              <w:rPr>
                <w:b/>
                <w:sz w:val="20"/>
                <w:szCs w:val="20"/>
                <w:lang w:val="en-US"/>
              </w:rPr>
              <w:t xml:space="preserve">Objective </w:t>
            </w:r>
            <w:r w:rsidR="001E7C5E" w:rsidRPr="001B696A">
              <w:rPr>
                <w:b/>
                <w:sz w:val="20"/>
                <w:szCs w:val="20"/>
                <w:lang w:val="en-US"/>
              </w:rPr>
              <w:t>achiev</w:t>
            </w:r>
            <w:r w:rsidR="00DE6E98" w:rsidRPr="001B696A">
              <w:rPr>
                <w:b/>
                <w:sz w:val="20"/>
                <w:szCs w:val="20"/>
                <w:lang w:val="en-US"/>
              </w:rPr>
              <w:t>ed</w:t>
            </w:r>
          </w:p>
          <w:p w14:paraId="3F7495D2" w14:textId="77777777" w:rsidR="0017605D" w:rsidRPr="001B696A" w:rsidRDefault="0017605D" w:rsidP="00EF7582">
            <w:pPr>
              <w:rPr>
                <w:sz w:val="20"/>
                <w:szCs w:val="20"/>
                <w:lang w:val="en-US"/>
              </w:rPr>
            </w:pPr>
          </w:p>
          <w:p w14:paraId="76A46B2F" w14:textId="63E1F3A6" w:rsidR="0017605D" w:rsidRPr="001B696A" w:rsidRDefault="00395FFF" w:rsidP="00EF7582">
            <w:pPr>
              <w:rPr>
                <w:sz w:val="20"/>
                <w:szCs w:val="20"/>
                <w:lang w:val="en-US"/>
              </w:rPr>
            </w:pPr>
            <w:r w:rsidRPr="001B696A">
              <w:rPr>
                <w:sz w:val="20"/>
                <w:szCs w:val="20"/>
                <w:lang w:val="en-US"/>
              </w:rPr>
              <w:t xml:space="preserve">The team processed </w:t>
            </w:r>
            <w:r w:rsidR="00DE6E98" w:rsidRPr="001B696A">
              <w:rPr>
                <w:sz w:val="20"/>
                <w:szCs w:val="20"/>
                <w:lang w:val="en-US"/>
              </w:rPr>
              <w:t>9</w:t>
            </w:r>
            <w:r w:rsidR="0017605D" w:rsidRPr="001B696A">
              <w:rPr>
                <w:sz w:val="20"/>
                <w:szCs w:val="20"/>
                <w:lang w:val="en-US"/>
              </w:rPr>
              <w:t xml:space="preserve"> referrals of Council Tax discount/exemption fraud, CTRS fraud and</w:t>
            </w:r>
            <w:r w:rsidRPr="001B696A">
              <w:rPr>
                <w:sz w:val="20"/>
                <w:szCs w:val="20"/>
                <w:lang w:val="en-US"/>
              </w:rPr>
              <w:t xml:space="preserve"> NNDR fraud.  There have been 1</w:t>
            </w:r>
            <w:r w:rsidR="00DE6E98" w:rsidRPr="001B696A">
              <w:rPr>
                <w:sz w:val="20"/>
                <w:szCs w:val="20"/>
                <w:lang w:val="en-US"/>
              </w:rPr>
              <w:t>4</w:t>
            </w:r>
            <w:r w:rsidR="0017605D" w:rsidRPr="001B696A">
              <w:rPr>
                <w:sz w:val="20"/>
                <w:szCs w:val="20"/>
                <w:lang w:val="en-US"/>
              </w:rPr>
              <w:t xml:space="preserve"> positive</w:t>
            </w:r>
            <w:r w:rsidR="00A31D7E" w:rsidRPr="001B696A">
              <w:rPr>
                <w:sz w:val="20"/>
                <w:szCs w:val="20"/>
                <w:lang w:val="en-US"/>
              </w:rPr>
              <w:t xml:space="preserve"> outcomes during the year primarily</w:t>
            </w:r>
            <w:r w:rsidR="0017605D" w:rsidRPr="001B696A">
              <w:rPr>
                <w:sz w:val="20"/>
                <w:szCs w:val="20"/>
                <w:lang w:val="en-US"/>
              </w:rPr>
              <w:t xml:space="preserve"> identified from linked investigations into tenancy fraud where the tenant was in receipt of a benefit/exemption/reduction but no longer occupied the address as their principle home. </w:t>
            </w:r>
          </w:p>
          <w:p w14:paraId="1CB0D85F" w14:textId="77777777" w:rsidR="0017605D" w:rsidRPr="001B696A" w:rsidRDefault="0017605D" w:rsidP="00EF7582">
            <w:pPr>
              <w:rPr>
                <w:sz w:val="20"/>
                <w:szCs w:val="20"/>
                <w:lang w:val="en-US"/>
              </w:rPr>
            </w:pPr>
          </w:p>
          <w:p w14:paraId="47697660" w14:textId="52622CF9" w:rsidR="0017605D" w:rsidRPr="001B696A" w:rsidRDefault="0017605D" w:rsidP="00EF7582">
            <w:pPr>
              <w:rPr>
                <w:sz w:val="20"/>
                <w:szCs w:val="20"/>
                <w:lang w:val="en-US"/>
              </w:rPr>
            </w:pPr>
            <w:r w:rsidRPr="001B696A">
              <w:rPr>
                <w:sz w:val="20"/>
                <w:szCs w:val="20"/>
                <w:lang w:val="en-US"/>
              </w:rPr>
              <w:t xml:space="preserve">CTRS/CTB </w:t>
            </w:r>
            <w:r w:rsidR="00A31D7E" w:rsidRPr="001B696A">
              <w:rPr>
                <w:sz w:val="20"/>
                <w:szCs w:val="20"/>
                <w:lang w:val="en-US"/>
              </w:rPr>
              <w:t xml:space="preserve">overpayments </w:t>
            </w:r>
            <w:r w:rsidRPr="001B696A">
              <w:rPr>
                <w:sz w:val="20"/>
                <w:szCs w:val="20"/>
                <w:lang w:val="en-US"/>
              </w:rPr>
              <w:t>£</w:t>
            </w:r>
            <w:r w:rsidR="00DE6E98" w:rsidRPr="001B696A">
              <w:rPr>
                <w:sz w:val="20"/>
                <w:szCs w:val="20"/>
                <w:lang w:val="en-US"/>
              </w:rPr>
              <w:t>21,871.67</w:t>
            </w:r>
          </w:p>
          <w:p w14:paraId="33EF0DC1" w14:textId="72387380" w:rsidR="0017605D" w:rsidRPr="001B696A" w:rsidRDefault="00395FFF" w:rsidP="00EF7582">
            <w:pPr>
              <w:rPr>
                <w:sz w:val="20"/>
                <w:szCs w:val="20"/>
                <w:lang w:val="en-US"/>
              </w:rPr>
            </w:pPr>
            <w:r w:rsidRPr="001B696A">
              <w:rPr>
                <w:sz w:val="20"/>
                <w:szCs w:val="20"/>
                <w:lang w:val="en-US"/>
              </w:rPr>
              <w:t xml:space="preserve">HB </w:t>
            </w:r>
            <w:r w:rsidR="00A31D7E" w:rsidRPr="001B696A">
              <w:rPr>
                <w:sz w:val="20"/>
                <w:szCs w:val="20"/>
                <w:lang w:val="en-US"/>
              </w:rPr>
              <w:t xml:space="preserve">overpayments </w:t>
            </w:r>
            <w:r w:rsidRPr="001B696A">
              <w:rPr>
                <w:sz w:val="20"/>
                <w:szCs w:val="20"/>
                <w:lang w:val="en-US"/>
              </w:rPr>
              <w:t>£</w:t>
            </w:r>
            <w:r w:rsidR="00DE6E98" w:rsidRPr="001B696A">
              <w:rPr>
                <w:sz w:val="20"/>
                <w:szCs w:val="20"/>
                <w:lang w:val="en-US"/>
              </w:rPr>
              <w:t>126,782.9</w:t>
            </w:r>
            <w:r w:rsidR="001B696A" w:rsidRPr="001B696A">
              <w:rPr>
                <w:sz w:val="20"/>
                <w:szCs w:val="20"/>
                <w:lang w:val="en-US"/>
              </w:rPr>
              <w:t>7</w:t>
            </w:r>
            <w:r w:rsidR="0017605D" w:rsidRPr="001B696A">
              <w:rPr>
                <w:sz w:val="20"/>
                <w:szCs w:val="20"/>
                <w:lang w:val="en-US"/>
              </w:rPr>
              <w:t xml:space="preserve">  </w:t>
            </w:r>
          </w:p>
          <w:p w14:paraId="74EF6686" w14:textId="77777777" w:rsidR="0017605D" w:rsidRPr="001B696A" w:rsidRDefault="0017605D" w:rsidP="00912B56">
            <w:pPr>
              <w:rPr>
                <w:b/>
                <w:sz w:val="20"/>
                <w:szCs w:val="20"/>
              </w:rPr>
            </w:pPr>
          </w:p>
          <w:p w14:paraId="1F3D127A" w14:textId="77777777" w:rsidR="00395FFF" w:rsidRPr="001B696A" w:rsidRDefault="00395FFF" w:rsidP="00912B56">
            <w:pPr>
              <w:rPr>
                <w:b/>
                <w:sz w:val="20"/>
                <w:szCs w:val="20"/>
              </w:rPr>
            </w:pPr>
          </w:p>
          <w:p w14:paraId="04FA861A" w14:textId="7AB3DCE6" w:rsidR="0017605D" w:rsidRPr="00AB098A" w:rsidRDefault="0017605D" w:rsidP="00912B56">
            <w:pPr>
              <w:rPr>
                <w:b/>
                <w:color w:val="FF0000"/>
                <w:sz w:val="20"/>
                <w:szCs w:val="20"/>
              </w:rPr>
            </w:pPr>
            <w:r w:rsidRPr="001B696A">
              <w:rPr>
                <w:b/>
                <w:sz w:val="20"/>
                <w:szCs w:val="20"/>
              </w:rPr>
              <w:t>Overall fraud savings attributed t</w:t>
            </w:r>
            <w:r w:rsidR="00CD74EA" w:rsidRPr="001B696A">
              <w:rPr>
                <w:b/>
                <w:sz w:val="20"/>
                <w:szCs w:val="20"/>
              </w:rPr>
              <w:t>o this work stream is £</w:t>
            </w:r>
            <w:r w:rsidR="00DE6E98" w:rsidRPr="001B696A">
              <w:rPr>
                <w:b/>
                <w:sz w:val="20"/>
                <w:szCs w:val="20"/>
              </w:rPr>
              <w:t>148,654.6</w:t>
            </w:r>
            <w:r w:rsidR="001B696A" w:rsidRPr="001B696A">
              <w:rPr>
                <w:b/>
                <w:sz w:val="20"/>
                <w:szCs w:val="20"/>
              </w:rPr>
              <w:t>4</w:t>
            </w:r>
          </w:p>
        </w:tc>
      </w:tr>
      <w:tr w:rsidR="0017605D" w:rsidRPr="006B4ED5" w14:paraId="2937570D"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3B9CDD9C" w14:textId="77777777" w:rsidR="0017605D" w:rsidRDefault="00930342" w:rsidP="007816FE">
            <w:pPr>
              <w:rPr>
                <w:sz w:val="20"/>
                <w:szCs w:val="20"/>
                <w:lang w:val="en-US"/>
              </w:rPr>
            </w:pPr>
            <w:r>
              <w:rPr>
                <w:sz w:val="20"/>
                <w:szCs w:val="20"/>
                <w:lang w:val="en-US"/>
              </w:rPr>
              <w:t>15</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0BEE7966" w14:textId="77777777" w:rsidR="0017605D" w:rsidRPr="007C6042" w:rsidRDefault="0017605D" w:rsidP="000A7318">
            <w:pPr>
              <w:rPr>
                <w:b/>
                <w:sz w:val="20"/>
                <w:szCs w:val="20"/>
                <w:lang w:val="en-US"/>
              </w:rPr>
            </w:pPr>
            <w:r w:rsidRPr="007C6042">
              <w:rPr>
                <w:b/>
                <w:sz w:val="20"/>
                <w:szCs w:val="20"/>
                <w:lang w:val="en-US"/>
              </w:rPr>
              <w:t xml:space="preserve">Social care fraud </w:t>
            </w:r>
          </w:p>
          <w:p w14:paraId="56B3FBB8" w14:textId="77777777" w:rsidR="0017605D" w:rsidRPr="007C6042" w:rsidRDefault="0017605D" w:rsidP="000A7318">
            <w:pPr>
              <w:rPr>
                <w:b/>
                <w:sz w:val="20"/>
                <w:szCs w:val="20"/>
                <w:lang w:val="en-US"/>
              </w:rPr>
            </w:pPr>
          </w:p>
          <w:p w14:paraId="51CCAE7D" w14:textId="77777777" w:rsidR="0017605D" w:rsidRPr="007C6042" w:rsidRDefault="0017605D" w:rsidP="00CA78FA">
            <w:pPr>
              <w:rPr>
                <w:sz w:val="20"/>
                <w:szCs w:val="20"/>
              </w:rPr>
            </w:pPr>
            <w:r w:rsidRPr="007C6042">
              <w:rPr>
                <w:sz w:val="20"/>
                <w:szCs w:val="20"/>
              </w:rPr>
              <w:t xml:space="preserve">Work in partnership with the People Directorate to investigate allegation of </w:t>
            </w:r>
            <w:r w:rsidRPr="007C6042">
              <w:rPr>
                <w:sz w:val="20"/>
                <w:szCs w:val="20"/>
              </w:rPr>
              <w:lastRenderedPageBreak/>
              <w:t>fraud and abuse of the social care system including but not limited to:-</w:t>
            </w:r>
          </w:p>
          <w:p w14:paraId="344ED9C9" w14:textId="77777777" w:rsidR="0017605D" w:rsidRPr="007C6042" w:rsidRDefault="0017605D" w:rsidP="00CA78FA">
            <w:pPr>
              <w:ind w:left="720"/>
              <w:rPr>
                <w:sz w:val="20"/>
                <w:szCs w:val="20"/>
              </w:rPr>
            </w:pPr>
          </w:p>
          <w:p w14:paraId="5005CED5" w14:textId="77777777" w:rsidR="0017605D" w:rsidRPr="007C6042" w:rsidRDefault="0017605D" w:rsidP="008E511F">
            <w:pPr>
              <w:numPr>
                <w:ilvl w:val="0"/>
                <w:numId w:val="16"/>
              </w:numPr>
              <w:rPr>
                <w:sz w:val="20"/>
                <w:szCs w:val="20"/>
              </w:rPr>
            </w:pPr>
            <w:r w:rsidRPr="007C6042">
              <w:rPr>
                <w:sz w:val="20"/>
                <w:szCs w:val="20"/>
              </w:rPr>
              <w:t>Personal budget applications, assessment and monitoring of spend</w:t>
            </w:r>
          </w:p>
          <w:p w14:paraId="09DCA0EB" w14:textId="77777777" w:rsidR="0017605D" w:rsidRPr="007C6042" w:rsidRDefault="0017605D" w:rsidP="00F316C4">
            <w:pPr>
              <w:ind w:left="720"/>
              <w:rPr>
                <w:sz w:val="20"/>
                <w:szCs w:val="20"/>
              </w:rPr>
            </w:pPr>
          </w:p>
          <w:p w14:paraId="7015FB2F" w14:textId="77777777" w:rsidR="0017605D" w:rsidRPr="00EF4E7B" w:rsidRDefault="0017605D" w:rsidP="00C0282A">
            <w:pPr>
              <w:numPr>
                <w:ilvl w:val="0"/>
                <w:numId w:val="16"/>
              </w:numPr>
              <w:rPr>
                <w:b/>
                <w:sz w:val="20"/>
                <w:szCs w:val="20"/>
                <w:lang w:val="en-US"/>
              </w:rPr>
            </w:pPr>
            <w:r w:rsidRPr="007C6042">
              <w:rPr>
                <w:sz w:val="20"/>
                <w:szCs w:val="20"/>
              </w:rPr>
              <w:t xml:space="preserve">A proactive fraud risk based exercise in relation to those individuals being financially supported in long term residential care </w:t>
            </w:r>
          </w:p>
        </w:tc>
        <w:tc>
          <w:tcPr>
            <w:tcW w:w="8646" w:type="dxa"/>
            <w:tcBorders>
              <w:top w:val="single" w:sz="4" w:space="0" w:color="auto"/>
              <w:left w:val="nil"/>
              <w:bottom w:val="single" w:sz="4" w:space="0" w:color="auto"/>
              <w:right w:val="single" w:sz="4" w:space="0" w:color="auto"/>
            </w:tcBorders>
            <w:shd w:val="clear" w:color="auto" w:fill="auto"/>
          </w:tcPr>
          <w:p w14:paraId="16523389" w14:textId="7C95DD6A" w:rsidR="0017605D" w:rsidRPr="00024DBE" w:rsidRDefault="00CD74EA" w:rsidP="00632B74">
            <w:pPr>
              <w:rPr>
                <w:b/>
                <w:sz w:val="20"/>
                <w:szCs w:val="20"/>
                <w:lang w:val="en-US"/>
              </w:rPr>
            </w:pPr>
            <w:r w:rsidRPr="00024DBE">
              <w:rPr>
                <w:b/>
                <w:sz w:val="20"/>
                <w:szCs w:val="20"/>
                <w:lang w:val="en-US"/>
              </w:rPr>
              <w:lastRenderedPageBreak/>
              <w:t xml:space="preserve">Objective </w:t>
            </w:r>
            <w:r w:rsidR="00DE6E98" w:rsidRPr="00024DBE">
              <w:rPr>
                <w:b/>
                <w:sz w:val="20"/>
                <w:szCs w:val="20"/>
                <w:lang w:val="en-US"/>
              </w:rPr>
              <w:t>achieved</w:t>
            </w:r>
          </w:p>
          <w:p w14:paraId="6A8FD32D" w14:textId="77777777" w:rsidR="00CD74EA" w:rsidRPr="00024DBE" w:rsidRDefault="00CD74EA" w:rsidP="00632B74">
            <w:pPr>
              <w:rPr>
                <w:sz w:val="20"/>
                <w:szCs w:val="20"/>
                <w:lang w:val="en-US"/>
              </w:rPr>
            </w:pPr>
          </w:p>
          <w:p w14:paraId="2AA55F55" w14:textId="53BB21B5" w:rsidR="0017605D" w:rsidRPr="00024DBE" w:rsidRDefault="0017605D" w:rsidP="00632B74">
            <w:pPr>
              <w:rPr>
                <w:sz w:val="20"/>
                <w:szCs w:val="20"/>
                <w:lang w:val="en-US"/>
              </w:rPr>
            </w:pPr>
            <w:r w:rsidRPr="00024DBE">
              <w:rPr>
                <w:sz w:val="20"/>
                <w:szCs w:val="20"/>
                <w:lang w:val="en-US"/>
              </w:rPr>
              <w:t>There hav</w:t>
            </w:r>
            <w:r w:rsidR="005B5FDB" w:rsidRPr="00024DBE">
              <w:rPr>
                <w:sz w:val="20"/>
                <w:szCs w:val="20"/>
                <w:lang w:val="en-US"/>
              </w:rPr>
              <w:t xml:space="preserve">e been </w:t>
            </w:r>
            <w:r w:rsidR="004E368B" w:rsidRPr="00024DBE">
              <w:rPr>
                <w:sz w:val="20"/>
                <w:szCs w:val="20"/>
                <w:lang w:val="en-US"/>
              </w:rPr>
              <w:t>6</w:t>
            </w:r>
            <w:r w:rsidRPr="00024DBE">
              <w:rPr>
                <w:sz w:val="20"/>
                <w:szCs w:val="20"/>
                <w:lang w:val="en-US"/>
              </w:rPr>
              <w:t xml:space="preserve"> positive outcome</w:t>
            </w:r>
            <w:r w:rsidR="00CD74EA" w:rsidRPr="00024DBE">
              <w:rPr>
                <w:sz w:val="20"/>
                <w:szCs w:val="20"/>
                <w:lang w:val="en-US"/>
              </w:rPr>
              <w:t>s involving social care cases; 2</w:t>
            </w:r>
            <w:r w:rsidRPr="00024DBE">
              <w:rPr>
                <w:sz w:val="20"/>
                <w:szCs w:val="20"/>
                <w:lang w:val="en-US"/>
              </w:rPr>
              <w:t xml:space="preserve"> involvi</w:t>
            </w:r>
            <w:r w:rsidR="005B5FDB" w:rsidRPr="00024DBE">
              <w:rPr>
                <w:sz w:val="20"/>
                <w:szCs w:val="20"/>
                <w:lang w:val="en-US"/>
              </w:rPr>
              <w:t xml:space="preserve">ng residential care, </w:t>
            </w:r>
            <w:r w:rsidR="004E368B" w:rsidRPr="00024DBE">
              <w:rPr>
                <w:sz w:val="20"/>
                <w:szCs w:val="20"/>
                <w:lang w:val="en-US"/>
              </w:rPr>
              <w:t>3</w:t>
            </w:r>
            <w:r w:rsidRPr="00024DBE">
              <w:rPr>
                <w:sz w:val="20"/>
                <w:szCs w:val="20"/>
                <w:lang w:val="en-US"/>
              </w:rPr>
              <w:t xml:space="preserve"> </w:t>
            </w:r>
            <w:r w:rsidR="00CD74EA" w:rsidRPr="00024DBE">
              <w:rPr>
                <w:sz w:val="20"/>
                <w:szCs w:val="20"/>
                <w:lang w:val="en-US"/>
              </w:rPr>
              <w:t xml:space="preserve">involving personal budget </w:t>
            </w:r>
            <w:r w:rsidRPr="00024DBE">
              <w:rPr>
                <w:sz w:val="20"/>
                <w:szCs w:val="20"/>
                <w:lang w:val="en-US"/>
              </w:rPr>
              <w:t>case</w:t>
            </w:r>
            <w:r w:rsidR="00CD74EA" w:rsidRPr="00024DBE">
              <w:rPr>
                <w:sz w:val="20"/>
                <w:szCs w:val="20"/>
                <w:lang w:val="en-US"/>
              </w:rPr>
              <w:t>s</w:t>
            </w:r>
            <w:r w:rsidR="005B5FDB" w:rsidRPr="00024DBE">
              <w:rPr>
                <w:sz w:val="20"/>
                <w:szCs w:val="20"/>
                <w:lang w:val="en-US"/>
              </w:rPr>
              <w:t xml:space="preserve"> and 1 case involving a No Recourse to Public Funds (NRPF) case</w:t>
            </w:r>
            <w:r w:rsidRPr="00024DBE">
              <w:rPr>
                <w:sz w:val="20"/>
                <w:szCs w:val="20"/>
                <w:lang w:val="en-US"/>
              </w:rPr>
              <w:t xml:space="preserve">. </w:t>
            </w:r>
          </w:p>
          <w:p w14:paraId="25470EA1" w14:textId="77777777" w:rsidR="0017605D" w:rsidRPr="00024DBE" w:rsidRDefault="0017605D" w:rsidP="00632B74">
            <w:pPr>
              <w:rPr>
                <w:sz w:val="20"/>
                <w:szCs w:val="20"/>
                <w:lang w:val="en-US"/>
              </w:rPr>
            </w:pPr>
          </w:p>
          <w:p w14:paraId="153AC62B" w14:textId="77777777" w:rsidR="00D078C1" w:rsidRDefault="0017605D" w:rsidP="00632B74">
            <w:pPr>
              <w:rPr>
                <w:sz w:val="20"/>
                <w:szCs w:val="20"/>
                <w:lang w:val="en-US"/>
              </w:rPr>
            </w:pPr>
            <w:r w:rsidRPr="00024DBE">
              <w:rPr>
                <w:sz w:val="20"/>
                <w:szCs w:val="20"/>
                <w:lang w:val="en-US"/>
              </w:rPr>
              <w:t>A personal budge</w:t>
            </w:r>
            <w:r w:rsidR="006F1017" w:rsidRPr="00024DBE">
              <w:rPr>
                <w:sz w:val="20"/>
                <w:szCs w:val="20"/>
                <w:lang w:val="en-US"/>
              </w:rPr>
              <w:t xml:space="preserve">t investigation uncovered false documentation that an individual had submitted to continue to receive care for their son, but the reality was that the care was not taking place.  The investigation is </w:t>
            </w:r>
            <w:r w:rsidR="00B02750">
              <w:rPr>
                <w:sz w:val="20"/>
                <w:szCs w:val="20"/>
                <w:lang w:val="en-US"/>
              </w:rPr>
              <w:t>now complete and</w:t>
            </w:r>
            <w:r w:rsidR="006F1017" w:rsidRPr="00024DBE">
              <w:rPr>
                <w:sz w:val="20"/>
                <w:szCs w:val="20"/>
                <w:lang w:val="en-US"/>
              </w:rPr>
              <w:t xml:space="preserve"> a reassessment of the applicant has resulted in the individual being invoiced for in excess of £100,000.  A decision on further punitive action </w:t>
            </w:r>
            <w:r w:rsidR="004E368B" w:rsidRPr="00024DBE">
              <w:rPr>
                <w:sz w:val="20"/>
                <w:szCs w:val="20"/>
                <w:lang w:val="en-US"/>
              </w:rPr>
              <w:t>is pending</w:t>
            </w:r>
            <w:r w:rsidR="006F1017" w:rsidRPr="00024DBE">
              <w:rPr>
                <w:sz w:val="20"/>
                <w:szCs w:val="20"/>
                <w:lang w:val="en-US"/>
              </w:rPr>
              <w:t xml:space="preserve">.  </w:t>
            </w:r>
          </w:p>
          <w:p w14:paraId="13E48017" w14:textId="77777777" w:rsidR="00D078C1" w:rsidRDefault="00D078C1" w:rsidP="00632B74">
            <w:pPr>
              <w:rPr>
                <w:sz w:val="20"/>
                <w:szCs w:val="20"/>
                <w:lang w:val="en-US"/>
              </w:rPr>
            </w:pPr>
          </w:p>
          <w:p w14:paraId="32090CA8" w14:textId="0AD120D0" w:rsidR="006F1017" w:rsidRPr="00024DBE" w:rsidRDefault="006F1017" w:rsidP="00632B74">
            <w:pPr>
              <w:rPr>
                <w:sz w:val="20"/>
                <w:szCs w:val="20"/>
                <w:lang w:val="en-US"/>
              </w:rPr>
            </w:pPr>
            <w:r w:rsidRPr="00024DBE">
              <w:rPr>
                <w:sz w:val="20"/>
                <w:szCs w:val="20"/>
                <w:lang w:val="en-US"/>
              </w:rPr>
              <w:t>In case</w:t>
            </w:r>
            <w:r w:rsidR="00111069" w:rsidRPr="00024DBE">
              <w:rPr>
                <w:sz w:val="20"/>
                <w:szCs w:val="20"/>
                <w:lang w:val="en-US"/>
              </w:rPr>
              <w:t xml:space="preserve"> two,</w:t>
            </w:r>
            <w:r w:rsidRPr="00024DBE">
              <w:rPr>
                <w:sz w:val="20"/>
                <w:szCs w:val="20"/>
                <w:lang w:val="en-US"/>
              </w:rPr>
              <w:t xml:space="preserve"> the personal budget was being misused by an individual and funds spent on items outside of the agreed care plan.  There is an overpayment in excess of £17,000 on this case</w:t>
            </w:r>
            <w:r w:rsidR="00B6469F" w:rsidRPr="00024DBE">
              <w:rPr>
                <w:sz w:val="20"/>
                <w:szCs w:val="20"/>
                <w:lang w:val="en-US"/>
              </w:rPr>
              <w:t>.</w:t>
            </w:r>
            <w:r w:rsidR="004E368B" w:rsidRPr="00024DBE">
              <w:rPr>
                <w:sz w:val="20"/>
                <w:szCs w:val="20"/>
                <w:lang w:val="en-US"/>
              </w:rPr>
              <w:t xml:space="preserve">  The final case involv</w:t>
            </w:r>
            <w:r w:rsidR="00111069" w:rsidRPr="00024DBE">
              <w:rPr>
                <w:sz w:val="20"/>
                <w:szCs w:val="20"/>
                <w:lang w:val="en-US"/>
              </w:rPr>
              <w:t>ed</w:t>
            </w:r>
            <w:r w:rsidR="004E368B" w:rsidRPr="00024DBE">
              <w:rPr>
                <w:sz w:val="20"/>
                <w:szCs w:val="20"/>
                <w:lang w:val="en-US"/>
              </w:rPr>
              <w:t xml:space="preserve"> an individua</w:t>
            </w:r>
            <w:r w:rsidR="00111069" w:rsidRPr="00024DBE">
              <w:rPr>
                <w:sz w:val="20"/>
                <w:szCs w:val="20"/>
                <w:lang w:val="en-US"/>
              </w:rPr>
              <w:t xml:space="preserve">l that failed to disclose capital for the purposes of the financial assessment which would have meant that they would not have received any financial support had it been declared.  This overpayment amounts to in excess of </w:t>
            </w:r>
            <w:r w:rsidR="00024DBE" w:rsidRPr="00024DBE">
              <w:rPr>
                <w:sz w:val="20"/>
                <w:szCs w:val="20"/>
                <w:lang w:val="en-US"/>
              </w:rPr>
              <w:t>£26,000.</w:t>
            </w:r>
            <w:r w:rsidR="004E368B" w:rsidRPr="00024DBE">
              <w:rPr>
                <w:sz w:val="20"/>
                <w:szCs w:val="20"/>
                <w:lang w:val="en-US"/>
              </w:rPr>
              <w:t xml:space="preserve"> </w:t>
            </w:r>
            <w:r w:rsidRPr="00024DBE">
              <w:rPr>
                <w:sz w:val="20"/>
                <w:szCs w:val="20"/>
                <w:lang w:val="en-US"/>
              </w:rPr>
              <w:t xml:space="preserve"> </w:t>
            </w:r>
          </w:p>
          <w:p w14:paraId="20375E87" w14:textId="77777777" w:rsidR="0017605D" w:rsidRPr="00024DBE" w:rsidRDefault="006F1017" w:rsidP="00632B74">
            <w:pPr>
              <w:rPr>
                <w:sz w:val="20"/>
                <w:szCs w:val="20"/>
                <w:lang w:val="en-US"/>
              </w:rPr>
            </w:pPr>
            <w:r w:rsidRPr="00024DBE">
              <w:rPr>
                <w:sz w:val="20"/>
                <w:szCs w:val="20"/>
                <w:lang w:val="en-US"/>
              </w:rPr>
              <w:t xml:space="preserve">    </w:t>
            </w:r>
          </w:p>
          <w:p w14:paraId="664C5160" w14:textId="77777777" w:rsidR="00B02750" w:rsidRDefault="006F1017" w:rsidP="00632B74">
            <w:pPr>
              <w:rPr>
                <w:sz w:val="20"/>
                <w:szCs w:val="20"/>
                <w:lang w:val="en-US"/>
              </w:rPr>
            </w:pPr>
            <w:r w:rsidRPr="00024DBE">
              <w:rPr>
                <w:sz w:val="20"/>
                <w:szCs w:val="20"/>
                <w:lang w:val="en-US"/>
              </w:rPr>
              <w:t>The</w:t>
            </w:r>
            <w:r w:rsidR="0017605D" w:rsidRPr="00024DBE">
              <w:rPr>
                <w:sz w:val="20"/>
                <w:szCs w:val="20"/>
                <w:lang w:val="en-US"/>
              </w:rPr>
              <w:t xml:space="preserve"> proactive fraud risk based exercise in relation to residential care financial assessments commenced in Q4</w:t>
            </w:r>
            <w:r w:rsidR="00CD74EA" w:rsidRPr="00024DBE">
              <w:rPr>
                <w:sz w:val="20"/>
                <w:szCs w:val="20"/>
                <w:lang w:val="en-US"/>
              </w:rPr>
              <w:t xml:space="preserve"> of 2018/19</w:t>
            </w:r>
            <w:r w:rsidR="0017605D" w:rsidRPr="00024DBE">
              <w:rPr>
                <w:sz w:val="20"/>
                <w:szCs w:val="20"/>
                <w:lang w:val="en-US"/>
              </w:rPr>
              <w:t xml:space="preserve"> </w:t>
            </w:r>
            <w:r w:rsidRPr="00024DBE">
              <w:rPr>
                <w:sz w:val="20"/>
                <w:szCs w:val="20"/>
                <w:lang w:val="en-US"/>
              </w:rPr>
              <w:t xml:space="preserve">continued in 2019/20 </w:t>
            </w:r>
            <w:r w:rsidR="00B6469F" w:rsidRPr="00024DBE">
              <w:rPr>
                <w:sz w:val="20"/>
                <w:szCs w:val="20"/>
                <w:lang w:val="en-US"/>
              </w:rPr>
              <w:t>and of the 20 cases reviewed, 2</w:t>
            </w:r>
            <w:r w:rsidR="0017605D" w:rsidRPr="00024DBE">
              <w:rPr>
                <w:sz w:val="20"/>
                <w:szCs w:val="20"/>
                <w:lang w:val="en-US"/>
              </w:rPr>
              <w:t xml:space="preserve"> are </w:t>
            </w:r>
            <w:r w:rsidR="00B6469F" w:rsidRPr="00024DBE">
              <w:rPr>
                <w:sz w:val="20"/>
                <w:szCs w:val="20"/>
                <w:lang w:val="en-US"/>
              </w:rPr>
              <w:t xml:space="preserve">currently live under </w:t>
            </w:r>
            <w:r w:rsidR="0017605D" w:rsidRPr="00024DBE">
              <w:rPr>
                <w:sz w:val="20"/>
                <w:szCs w:val="20"/>
                <w:lang w:val="en-US"/>
              </w:rPr>
              <w:t>investigation with suspicions that the applicant / representative have failed to disclose capital</w:t>
            </w:r>
            <w:r w:rsidR="00A24053" w:rsidRPr="00024DBE">
              <w:rPr>
                <w:sz w:val="20"/>
                <w:szCs w:val="20"/>
                <w:lang w:val="en-US"/>
              </w:rPr>
              <w:t>/assets</w:t>
            </w:r>
            <w:r w:rsidR="00B6469F" w:rsidRPr="00024DBE">
              <w:rPr>
                <w:sz w:val="20"/>
                <w:szCs w:val="20"/>
                <w:lang w:val="en-US"/>
              </w:rPr>
              <w:t xml:space="preserve"> impacting the financial assessment</w:t>
            </w:r>
            <w:r w:rsidR="0017605D" w:rsidRPr="00024DBE">
              <w:rPr>
                <w:sz w:val="20"/>
                <w:szCs w:val="20"/>
                <w:lang w:val="en-US"/>
              </w:rPr>
              <w:t>.</w:t>
            </w:r>
            <w:r w:rsidR="00B6469F" w:rsidRPr="00024DBE">
              <w:rPr>
                <w:sz w:val="20"/>
                <w:szCs w:val="20"/>
                <w:lang w:val="en-US"/>
              </w:rPr>
              <w:t xml:space="preserve">  </w:t>
            </w:r>
          </w:p>
          <w:p w14:paraId="1B4579C5" w14:textId="77777777" w:rsidR="00B02750" w:rsidRDefault="00B02750" w:rsidP="00632B74">
            <w:pPr>
              <w:rPr>
                <w:sz w:val="20"/>
                <w:szCs w:val="20"/>
                <w:lang w:val="en-US"/>
              </w:rPr>
            </w:pPr>
          </w:p>
          <w:p w14:paraId="07321E30" w14:textId="731EDFF9" w:rsidR="0017605D" w:rsidRPr="00024DBE" w:rsidRDefault="00B6469F" w:rsidP="00632B74">
            <w:pPr>
              <w:rPr>
                <w:sz w:val="20"/>
                <w:szCs w:val="20"/>
                <w:lang w:val="en-US"/>
              </w:rPr>
            </w:pPr>
            <w:r w:rsidRPr="00024DBE">
              <w:rPr>
                <w:sz w:val="20"/>
                <w:szCs w:val="20"/>
                <w:lang w:val="en-US"/>
              </w:rPr>
              <w:t>The other long term residential care case is a</w:t>
            </w:r>
            <w:r w:rsidR="00A24053" w:rsidRPr="00024DBE">
              <w:rPr>
                <w:sz w:val="20"/>
                <w:szCs w:val="20"/>
                <w:lang w:val="en-US"/>
              </w:rPr>
              <w:t xml:space="preserve"> historical investigation where </w:t>
            </w:r>
            <w:r w:rsidRPr="00024DBE">
              <w:rPr>
                <w:sz w:val="20"/>
                <w:szCs w:val="20"/>
                <w:lang w:val="en-US"/>
              </w:rPr>
              <w:t>a family member deliberately deprived the applicant of capital which would have impacted the financial assessment.</w:t>
            </w:r>
            <w:r w:rsidR="00D078C1">
              <w:rPr>
                <w:sz w:val="20"/>
                <w:szCs w:val="20"/>
                <w:lang w:val="en-US"/>
              </w:rPr>
              <w:t xml:space="preserve">  </w:t>
            </w:r>
            <w:r w:rsidRPr="00024DBE">
              <w:rPr>
                <w:sz w:val="20"/>
                <w:szCs w:val="20"/>
                <w:lang w:val="en-US"/>
              </w:rPr>
              <w:t xml:space="preserve">The overpayment </w:t>
            </w:r>
            <w:r w:rsidR="00A24053" w:rsidRPr="00024DBE">
              <w:rPr>
                <w:sz w:val="20"/>
                <w:szCs w:val="20"/>
                <w:lang w:val="en-US"/>
              </w:rPr>
              <w:t xml:space="preserve">of care fees </w:t>
            </w:r>
            <w:r w:rsidRPr="00024DBE">
              <w:rPr>
                <w:sz w:val="20"/>
                <w:szCs w:val="20"/>
                <w:lang w:val="en-US"/>
              </w:rPr>
              <w:t xml:space="preserve">in this case is in excess of £100,000.  </w:t>
            </w:r>
            <w:r w:rsidR="00D078C1">
              <w:rPr>
                <w:sz w:val="20"/>
                <w:szCs w:val="20"/>
                <w:lang w:val="en-US"/>
              </w:rPr>
              <w:t>The authority obtained a</w:t>
            </w:r>
            <w:r w:rsidR="00AB021E">
              <w:rPr>
                <w:sz w:val="20"/>
                <w:szCs w:val="20"/>
                <w:lang w:val="en-US"/>
              </w:rPr>
              <w:t xml:space="preserve"> charging order in January 2020 and next steps were to apply for an order of sale in order to recover the losses.</w:t>
            </w:r>
            <w:r w:rsidRPr="00024DBE">
              <w:rPr>
                <w:sz w:val="20"/>
                <w:szCs w:val="20"/>
                <w:lang w:val="en-US"/>
              </w:rPr>
              <w:t xml:space="preserve">  </w:t>
            </w:r>
            <w:r w:rsidR="0017605D" w:rsidRPr="00024DBE">
              <w:rPr>
                <w:sz w:val="20"/>
                <w:szCs w:val="20"/>
                <w:lang w:val="en-US"/>
              </w:rPr>
              <w:t xml:space="preserve">   </w:t>
            </w:r>
          </w:p>
          <w:p w14:paraId="28BCD34F" w14:textId="77777777" w:rsidR="0017605D" w:rsidRPr="00024DBE" w:rsidRDefault="0017605D" w:rsidP="00EF7582">
            <w:pPr>
              <w:rPr>
                <w:sz w:val="20"/>
                <w:szCs w:val="20"/>
                <w:lang w:val="en-US"/>
              </w:rPr>
            </w:pPr>
          </w:p>
          <w:p w14:paraId="6F033631" w14:textId="7BCBC9CE" w:rsidR="005B5FDB" w:rsidRPr="00024DBE" w:rsidRDefault="00AB021E" w:rsidP="00EF7582">
            <w:pPr>
              <w:rPr>
                <w:sz w:val="20"/>
                <w:szCs w:val="20"/>
                <w:lang w:val="en-US"/>
              </w:rPr>
            </w:pPr>
            <w:r>
              <w:rPr>
                <w:sz w:val="20"/>
                <w:szCs w:val="20"/>
                <w:lang w:val="en-US"/>
              </w:rPr>
              <w:t xml:space="preserve">The </w:t>
            </w:r>
            <w:r w:rsidR="00336D6A">
              <w:rPr>
                <w:sz w:val="20"/>
                <w:szCs w:val="20"/>
                <w:lang w:val="en-US"/>
              </w:rPr>
              <w:t>one</w:t>
            </w:r>
            <w:r>
              <w:rPr>
                <w:sz w:val="20"/>
                <w:szCs w:val="20"/>
                <w:lang w:val="en-US"/>
              </w:rPr>
              <w:t xml:space="preserve"> </w:t>
            </w:r>
            <w:r w:rsidR="00336D6A">
              <w:rPr>
                <w:sz w:val="20"/>
                <w:szCs w:val="20"/>
                <w:lang w:val="en-US"/>
              </w:rPr>
              <w:t>‘</w:t>
            </w:r>
            <w:r>
              <w:rPr>
                <w:sz w:val="20"/>
                <w:szCs w:val="20"/>
                <w:lang w:val="en-US"/>
              </w:rPr>
              <w:t>n</w:t>
            </w:r>
            <w:r w:rsidR="00D078C1">
              <w:rPr>
                <w:sz w:val="20"/>
                <w:szCs w:val="20"/>
                <w:lang w:val="en-US"/>
              </w:rPr>
              <w:t>o recourse to public funds</w:t>
            </w:r>
            <w:r w:rsidR="00336D6A">
              <w:rPr>
                <w:sz w:val="20"/>
                <w:szCs w:val="20"/>
                <w:lang w:val="en-US"/>
              </w:rPr>
              <w:t>’</w:t>
            </w:r>
            <w:r w:rsidR="00D078C1">
              <w:rPr>
                <w:sz w:val="20"/>
                <w:szCs w:val="20"/>
                <w:lang w:val="en-US"/>
              </w:rPr>
              <w:t xml:space="preserve"> (</w:t>
            </w:r>
            <w:r w:rsidR="005B5FDB" w:rsidRPr="00024DBE">
              <w:rPr>
                <w:sz w:val="20"/>
                <w:szCs w:val="20"/>
                <w:lang w:val="en-US"/>
              </w:rPr>
              <w:t>NRPF</w:t>
            </w:r>
            <w:r w:rsidR="00D078C1">
              <w:rPr>
                <w:sz w:val="20"/>
                <w:szCs w:val="20"/>
                <w:lang w:val="en-US"/>
              </w:rPr>
              <w:t>)</w:t>
            </w:r>
            <w:r w:rsidR="005B5FDB" w:rsidRPr="00024DBE">
              <w:rPr>
                <w:sz w:val="20"/>
                <w:szCs w:val="20"/>
                <w:lang w:val="en-US"/>
              </w:rPr>
              <w:t xml:space="preserve"> case was investigated where the applicant had failed to disclose to the authority that their immigration status had changed so continued to receive financial support from the authority whilst claiming state benefit</w:t>
            </w:r>
            <w:r w:rsidR="00D078C1">
              <w:rPr>
                <w:sz w:val="20"/>
                <w:szCs w:val="20"/>
                <w:lang w:val="en-US"/>
              </w:rPr>
              <w:t>s</w:t>
            </w:r>
            <w:r w:rsidR="005B5FDB" w:rsidRPr="00024DBE">
              <w:rPr>
                <w:sz w:val="20"/>
                <w:szCs w:val="20"/>
                <w:lang w:val="en-US"/>
              </w:rPr>
              <w:t xml:space="preserve"> too.</w:t>
            </w:r>
            <w:r w:rsidR="00B02750">
              <w:rPr>
                <w:sz w:val="20"/>
                <w:szCs w:val="20"/>
                <w:lang w:val="en-US"/>
              </w:rPr>
              <w:t xml:space="preserve">  This amounted to a loss of £2626 which is being recovered.</w:t>
            </w:r>
          </w:p>
          <w:p w14:paraId="6942F45A" w14:textId="77777777" w:rsidR="005B5FDB" w:rsidRPr="00024DBE" w:rsidRDefault="005B5FDB" w:rsidP="00EF7582">
            <w:pPr>
              <w:rPr>
                <w:sz w:val="20"/>
                <w:szCs w:val="20"/>
                <w:lang w:val="en-US"/>
              </w:rPr>
            </w:pPr>
            <w:r w:rsidRPr="00024DBE">
              <w:rPr>
                <w:sz w:val="20"/>
                <w:szCs w:val="20"/>
                <w:lang w:val="en-US"/>
              </w:rPr>
              <w:t xml:space="preserve"> </w:t>
            </w:r>
          </w:p>
          <w:p w14:paraId="48A518F4" w14:textId="074B5CAA" w:rsidR="0017605D" w:rsidRPr="00024DBE" w:rsidRDefault="0017605D" w:rsidP="00EF7582">
            <w:pPr>
              <w:rPr>
                <w:b/>
                <w:sz w:val="20"/>
                <w:szCs w:val="20"/>
                <w:lang w:val="en-US"/>
              </w:rPr>
            </w:pPr>
            <w:r w:rsidRPr="00024DBE">
              <w:rPr>
                <w:b/>
                <w:sz w:val="20"/>
                <w:szCs w:val="20"/>
                <w:lang w:val="en-US"/>
              </w:rPr>
              <w:t xml:space="preserve">Overall fraud savings attributed to this work stream is </w:t>
            </w:r>
            <w:r w:rsidR="00CD74EA" w:rsidRPr="00024DBE">
              <w:rPr>
                <w:b/>
                <w:sz w:val="20"/>
                <w:szCs w:val="20"/>
                <w:lang w:val="en-US"/>
              </w:rPr>
              <w:t>£2</w:t>
            </w:r>
            <w:r w:rsidR="004E368B" w:rsidRPr="00024DBE">
              <w:rPr>
                <w:b/>
                <w:sz w:val="20"/>
                <w:szCs w:val="20"/>
                <w:lang w:val="en-US"/>
              </w:rPr>
              <w:t>74,953.76</w:t>
            </w:r>
          </w:p>
          <w:p w14:paraId="00BB36F0" w14:textId="77777777" w:rsidR="0017605D" w:rsidRPr="00024DBE" w:rsidRDefault="0017605D" w:rsidP="00EF7582">
            <w:pPr>
              <w:rPr>
                <w:sz w:val="20"/>
                <w:szCs w:val="20"/>
                <w:lang w:val="en-US"/>
              </w:rPr>
            </w:pPr>
          </w:p>
        </w:tc>
      </w:tr>
      <w:tr w:rsidR="0017605D" w:rsidRPr="005F0B23" w14:paraId="5FF96286"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4B135A9A" w14:textId="77777777" w:rsidR="0017605D" w:rsidRPr="005F0B23" w:rsidRDefault="00930342" w:rsidP="007816FE">
            <w:pPr>
              <w:rPr>
                <w:sz w:val="20"/>
                <w:szCs w:val="20"/>
              </w:rPr>
            </w:pPr>
            <w:r>
              <w:rPr>
                <w:sz w:val="20"/>
                <w:szCs w:val="20"/>
              </w:rPr>
              <w:lastRenderedPageBreak/>
              <w:t>16</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408792DC" w14:textId="77777777" w:rsidR="0017605D" w:rsidRPr="007C6042" w:rsidRDefault="0017605D" w:rsidP="007816FE">
            <w:pPr>
              <w:rPr>
                <w:b/>
                <w:sz w:val="20"/>
                <w:szCs w:val="20"/>
              </w:rPr>
            </w:pPr>
            <w:r w:rsidRPr="007C6042">
              <w:rPr>
                <w:b/>
                <w:sz w:val="20"/>
                <w:szCs w:val="20"/>
              </w:rPr>
              <w:t>Partnership working</w:t>
            </w:r>
          </w:p>
          <w:p w14:paraId="2C19DA0A" w14:textId="77777777" w:rsidR="0017605D" w:rsidRPr="007C6042" w:rsidRDefault="0017605D" w:rsidP="007816FE">
            <w:pPr>
              <w:rPr>
                <w:b/>
                <w:sz w:val="20"/>
                <w:szCs w:val="20"/>
              </w:rPr>
            </w:pPr>
          </w:p>
          <w:p w14:paraId="76CE7C7C" w14:textId="77777777" w:rsidR="0017605D" w:rsidRPr="007C6042" w:rsidRDefault="0017605D" w:rsidP="007816FE">
            <w:pPr>
              <w:rPr>
                <w:sz w:val="20"/>
                <w:szCs w:val="20"/>
              </w:rPr>
            </w:pPr>
            <w:r w:rsidRPr="007C6042">
              <w:rPr>
                <w:sz w:val="20"/>
                <w:szCs w:val="20"/>
              </w:rPr>
              <w:t>Responding to requests for information in a timely manner from our law enforcement partners e.g Police, HMRC, Other LA’s etc</w:t>
            </w:r>
          </w:p>
          <w:p w14:paraId="6A8A8C7E" w14:textId="5409EC6E" w:rsidR="0017605D" w:rsidRDefault="0017605D" w:rsidP="007816FE">
            <w:pPr>
              <w:rPr>
                <w:sz w:val="20"/>
                <w:szCs w:val="20"/>
              </w:rPr>
            </w:pPr>
          </w:p>
          <w:p w14:paraId="1BC016E6" w14:textId="333B2E5A" w:rsidR="00336D6A" w:rsidRDefault="00336D6A" w:rsidP="007816FE">
            <w:pPr>
              <w:rPr>
                <w:sz w:val="20"/>
                <w:szCs w:val="20"/>
              </w:rPr>
            </w:pPr>
          </w:p>
          <w:p w14:paraId="006E0066" w14:textId="17120A65" w:rsidR="00336D6A" w:rsidRDefault="00336D6A" w:rsidP="007816FE">
            <w:pPr>
              <w:rPr>
                <w:sz w:val="20"/>
                <w:szCs w:val="20"/>
              </w:rPr>
            </w:pPr>
          </w:p>
          <w:p w14:paraId="2A258728" w14:textId="77777777" w:rsidR="00336D6A" w:rsidRPr="007C6042" w:rsidRDefault="00336D6A" w:rsidP="007816FE">
            <w:pPr>
              <w:rPr>
                <w:sz w:val="20"/>
                <w:szCs w:val="20"/>
              </w:rPr>
            </w:pPr>
          </w:p>
          <w:p w14:paraId="603CA9E5" w14:textId="77777777" w:rsidR="0017605D" w:rsidRPr="007C6042" w:rsidRDefault="0017605D" w:rsidP="007816FE">
            <w:pPr>
              <w:rPr>
                <w:b/>
                <w:sz w:val="20"/>
                <w:szCs w:val="20"/>
              </w:rPr>
            </w:pPr>
          </w:p>
        </w:tc>
        <w:tc>
          <w:tcPr>
            <w:tcW w:w="8646" w:type="dxa"/>
            <w:tcBorders>
              <w:top w:val="single" w:sz="4" w:space="0" w:color="auto"/>
              <w:left w:val="nil"/>
              <w:bottom w:val="single" w:sz="4" w:space="0" w:color="auto"/>
              <w:right w:val="single" w:sz="4" w:space="0" w:color="auto"/>
            </w:tcBorders>
            <w:shd w:val="clear" w:color="auto" w:fill="auto"/>
          </w:tcPr>
          <w:p w14:paraId="124E9428" w14:textId="0057F85E" w:rsidR="0017605D" w:rsidRPr="00024DBE" w:rsidRDefault="00AB098A" w:rsidP="0076288E">
            <w:pPr>
              <w:rPr>
                <w:b/>
                <w:sz w:val="20"/>
                <w:szCs w:val="20"/>
              </w:rPr>
            </w:pPr>
            <w:r w:rsidRPr="00024DBE">
              <w:rPr>
                <w:b/>
                <w:sz w:val="20"/>
                <w:szCs w:val="20"/>
              </w:rPr>
              <w:t>Objective a</w:t>
            </w:r>
            <w:r w:rsidR="00A1786C" w:rsidRPr="00024DBE">
              <w:rPr>
                <w:b/>
                <w:sz w:val="20"/>
                <w:szCs w:val="20"/>
              </w:rPr>
              <w:t>chieved</w:t>
            </w:r>
          </w:p>
          <w:p w14:paraId="6B966D76" w14:textId="77777777" w:rsidR="0017605D" w:rsidRPr="00024DBE" w:rsidRDefault="0017605D" w:rsidP="0076288E">
            <w:pPr>
              <w:rPr>
                <w:b/>
                <w:sz w:val="20"/>
                <w:szCs w:val="20"/>
              </w:rPr>
            </w:pPr>
          </w:p>
          <w:p w14:paraId="04F24B25" w14:textId="77777777" w:rsidR="0017605D" w:rsidRPr="00024DBE" w:rsidRDefault="0017605D" w:rsidP="0076288E">
            <w:pPr>
              <w:rPr>
                <w:sz w:val="20"/>
                <w:szCs w:val="20"/>
              </w:rPr>
            </w:pPr>
            <w:r w:rsidRPr="00024DBE">
              <w:rPr>
                <w:sz w:val="20"/>
                <w:szCs w:val="20"/>
              </w:rPr>
              <w:t xml:space="preserve">The team handled many requests for information from other law enforcement agencies to support their work and have maintained a positive working relationship with the Department for Work &amp; Pensions, the Metropolitan Police and other forces in the UK, the UK Border Agency, Registered Social Landlords and other Local Authorities.     </w:t>
            </w:r>
          </w:p>
          <w:p w14:paraId="5E3986E8" w14:textId="77777777" w:rsidR="0017605D" w:rsidRPr="00AB098A" w:rsidRDefault="0017605D" w:rsidP="0076288E">
            <w:pPr>
              <w:rPr>
                <w:color w:val="FF0000"/>
                <w:sz w:val="20"/>
                <w:szCs w:val="20"/>
                <w:lang w:val="en-US"/>
              </w:rPr>
            </w:pPr>
          </w:p>
        </w:tc>
      </w:tr>
      <w:tr w:rsidR="0017605D" w:rsidRPr="005F0B23" w14:paraId="63E0A196" w14:textId="77777777" w:rsidTr="0017605D">
        <w:trPr>
          <w:trHeight w:val="251"/>
        </w:trPr>
        <w:tc>
          <w:tcPr>
            <w:tcW w:w="576" w:type="dxa"/>
            <w:tcBorders>
              <w:top w:val="single" w:sz="4" w:space="0" w:color="auto"/>
              <w:left w:val="single" w:sz="4" w:space="0" w:color="auto"/>
              <w:bottom w:val="single" w:sz="4" w:space="0" w:color="auto"/>
              <w:right w:val="single" w:sz="4" w:space="0" w:color="auto"/>
            </w:tcBorders>
          </w:tcPr>
          <w:p w14:paraId="7D458C43" w14:textId="77777777" w:rsidR="0017605D" w:rsidRDefault="00930342" w:rsidP="007816FE">
            <w:pPr>
              <w:rPr>
                <w:sz w:val="20"/>
                <w:szCs w:val="20"/>
              </w:rPr>
            </w:pPr>
            <w:r>
              <w:rPr>
                <w:sz w:val="20"/>
                <w:szCs w:val="20"/>
              </w:rPr>
              <w:lastRenderedPageBreak/>
              <w:t>17</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7022E185" w14:textId="77777777" w:rsidR="0017605D" w:rsidRPr="007C6042" w:rsidRDefault="0017605D" w:rsidP="00E32DBC">
            <w:pPr>
              <w:rPr>
                <w:b/>
                <w:sz w:val="20"/>
                <w:szCs w:val="20"/>
                <w:lang w:val="en-US"/>
              </w:rPr>
            </w:pPr>
            <w:r w:rsidRPr="007C6042">
              <w:rPr>
                <w:b/>
                <w:sz w:val="20"/>
                <w:szCs w:val="20"/>
                <w:lang w:val="en-US"/>
              </w:rPr>
              <w:t>Risk assess allegations of fraud and corruption</w:t>
            </w:r>
          </w:p>
          <w:p w14:paraId="05329CD6" w14:textId="77777777" w:rsidR="0017605D" w:rsidRPr="007C6042" w:rsidRDefault="0017605D" w:rsidP="00E32DBC">
            <w:pPr>
              <w:rPr>
                <w:sz w:val="20"/>
                <w:szCs w:val="20"/>
                <w:lang w:val="en-US"/>
              </w:rPr>
            </w:pPr>
          </w:p>
          <w:p w14:paraId="01B7786A" w14:textId="77777777" w:rsidR="0017605D" w:rsidRPr="007C6042" w:rsidRDefault="0017605D" w:rsidP="00E32DBC">
            <w:pPr>
              <w:rPr>
                <w:sz w:val="20"/>
                <w:szCs w:val="20"/>
                <w:lang w:val="en-US"/>
              </w:rPr>
            </w:pPr>
            <w:r w:rsidRPr="007C6042">
              <w:rPr>
                <w:sz w:val="20"/>
                <w:szCs w:val="20"/>
                <w:lang w:val="en-US"/>
              </w:rPr>
              <w:t>Risk assess 80% of allegations of fraud and corruption and deploy resources on those cases deemed sufficiently high enough fraud risk within an average of 10 working days of receipt of the information. (KPI4)</w:t>
            </w:r>
          </w:p>
          <w:p w14:paraId="76933699" w14:textId="77777777" w:rsidR="0017605D" w:rsidRPr="007C6042" w:rsidRDefault="0017605D" w:rsidP="00E32DBC">
            <w:pPr>
              <w:rPr>
                <w:sz w:val="20"/>
                <w:szCs w:val="20"/>
              </w:rPr>
            </w:pPr>
          </w:p>
        </w:tc>
        <w:tc>
          <w:tcPr>
            <w:tcW w:w="8646" w:type="dxa"/>
            <w:tcBorders>
              <w:top w:val="single" w:sz="4" w:space="0" w:color="auto"/>
              <w:left w:val="nil"/>
              <w:bottom w:val="single" w:sz="4" w:space="0" w:color="auto"/>
              <w:right w:val="single" w:sz="4" w:space="0" w:color="auto"/>
            </w:tcBorders>
            <w:shd w:val="clear" w:color="auto" w:fill="auto"/>
          </w:tcPr>
          <w:p w14:paraId="08A27F5A" w14:textId="7F3645EF" w:rsidR="0017605D" w:rsidRPr="00024DBE" w:rsidRDefault="00AB098A" w:rsidP="0076288E">
            <w:pPr>
              <w:rPr>
                <w:b/>
                <w:sz w:val="20"/>
                <w:szCs w:val="20"/>
              </w:rPr>
            </w:pPr>
            <w:r w:rsidRPr="00024DBE">
              <w:rPr>
                <w:b/>
                <w:sz w:val="20"/>
                <w:szCs w:val="20"/>
              </w:rPr>
              <w:t>Objective a</w:t>
            </w:r>
            <w:r w:rsidR="00A1786C" w:rsidRPr="00024DBE">
              <w:rPr>
                <w:b/>
                <w:sz w:val="20"/>
                <w:szCs w:val="20"/>
              </w:rPr>
              <w:t>chieved</w:t>
            </w:r>
            <w:r w:rsidR="0017605D" w:rsidRPr="00024DBE">
              <w:rPr>
                <w:b/>
                <w:sz w:val="20"/>
                <w:szCs w:val="20"/>
              </w:rPr>
              <w:t xml:space="preserve"> </w:t>
            </w:r>
          </w:p>
          <w:p w14:paraId="5CFC5C29" w14:textId="77777777" w:rsidR="0017605D" w:rsidRPr="00024DBE" w:rsidRDefault="0017605D" w:rsidP="0076288E">
            <w:pPr>
              <w:rPr>
                <w:sz w:val="20"/>
                <w:szCs w:val="20"/>
              </w:rPr>
            </w:pPr>
          </w:p>
          <w:p w14:paraId="58688123" w14:textId="77777777" w:rsidR="003D2C88" w:rsidRPr="00024DBE" w:rsidRDefault="00B6469F" w:rsidP="00DB396D">
            <w:pPr>
              <w:rPr>
                <w:sz w:val="20"/>
                <w:szCs w:val="20"/>
              </w:rPr>
            </w:pPr>
            <w:r w:rsidRPr="00024DBE">
              <w:rPr>
                <w:sz w:val="20"/>
                <w:szCs w:val="20"/>
              </w:rPr>
              <w:t xml:space="preserve">Of the </w:t>
            </w:r>
            <w:r w:rsidR="00110C22" w:rsidRPr="00024DBE">
              <w:rPr>
                <w:sz w:val="20"/>
                <w:szCs w:val="20"/>
              </w:rPr>
              <w:t>205</w:t>
            </w:r>
            <w:r w:rsidR="0017605D" w:rsidRPr="00024DBE">
              <w:rPr>
                <w:sz w:val="20"/>
                <w:szCs w:val="20"/>
              </w:rPr>
              <w:t xml:space="preserve"> referra</w:t>
            </w:r>
            <w:r w:rsidRPr="00024DBE">
              <w:rPr>
                <w:sz w:val="20"/>
                <w:szCs w:val="20"/>
              </w:rPr>
              <w:t xml:space="preserve">ls received during the year, </w:t>
            </w:r>
            <w:r w:rsidR="00110C22" w:rsidRPr="00024DBE">
              <w:rPr>
                <w:sz w:val="20"/>
                <w:szCs w:val="20"/>
              </w:rPr>
              <w:t>201</w:t>
            </w:r>
            <w:r w:rsidRPr="00024DBE">
              <w:rPr>
                <w:sz w:val="20"/>
                <w:szCs w:val="20"/>
              </w:rPr>
              <w:t xml:space="preserve"> (9</w:t>
            </w:r>
            <w:r w:rsidR="00110C22" w:rsidRPr="00024DBE">
              <w:rPr>
                <w:sz w:val="20"/>
                <w:szCs w:val="20"/>
              </w:rPr>
              <w:t>8</w:t>
            </w:r>
            <w:r w:rsidR="0017605D" w:rsidRPr="00024DBE">
              <w:rPr>
                <w:sz w:val="20"/>
                <w:szCs w:val="20"/>
              </w:rPr>
              <w:t>%) were risk assessed and resources deployed to those cases accepted for invest</w:t>
            </w:r>
            <w:r w:rsidR="003D2C88" w:rsidRPr="00024DBE">
              <w:rPr>
                <w:sz w:val="20"/>
                <w:szCs w:val="20"/>
              </w:rPr>
              <w:t>igation within 10 working days.</w:t>
            </w:r>
          </w:p>
          <w:p w14:paraId="3C2EF94D" w14:textId="77777777" w:rsidR="003D2C88" w:rsidRPr="00024DBE" w:rsidRDefault="003D2C88" w:rsidP="00DB396D">
            <w:pPr>
              <w:rPr>
                <w:b/>
                <w:sz w:val="20"/>
                <w:szCs w:val="20"/>
              </w:rPr>
            </w:pPr>
          </w:p>
          <w:p w14:paraId="711ED3CA" w14:textId="77777777" w:rsidR="0017605D" w:rsidRPr="00024DBE" w:rsidRDefault="003D2C88" w:rsidP="00DB396D">
            <w:pPr>
              <w:rPr>
                <w:b/>
                <w:sz w:val="20"/>
                <w:szCs w:val="20"/>
              </w:rPr>
            </w:pPr>
            <w:r w:rsidRPr="00024DBE">
              <w:rPr>
                <w:b/>
                <w:sz w:val="20"/>
                <w:szCs w:val="20"/>
              </w:rPr>
              <w:t>KPI4 target 80%, achie</w:t>
            </w:r>
            <w:r w:rsidR="00110C22" w:rsidRPr="00024DBE">
              <w:rPr>
                <w:b/>
                <w:sz w:val="20"/>
                <w:szCs w:val="20"/>
              </w:rPr>
              <w:t>ved</w:t>
            </w:r>
            <w:r w:rsidR="00B6469F" w:rsidRPr="00024DBE">
              <w:rPr>
                <w:b/>
                <w:sz w:val="20"/>
                <w:szCs w:val="20"/>
              </w:rPr>
              <w:t xml:space="preserve"> 9</w:t>
            </w:r>
            <w:r w:rsidR="00110C22" w:rsidRPr="00024DBE">
              <w:rPr>
                <w:b/>
                <w:sz w:val="20"/>
                <w:szCs w:val="20"/>
              </w:rPr>
              <w:t>8</w:t>
            </w:r>
            <w:r w:rsidR="0017605D" w:rsidRPr="00024DBE">
              <w:rPr>
                <w:b/>
                <w:sz w:val="20"/>
                <w:szCs w:val="20"/>
              </w:rPr>
              <w:t>%</w:t>
            </w:r>
          </w:p>
          <w:p w14:paraId="46AFDDE6" w14:textId="77777777" w:rsidR="0017605D" w:rsidRPr="00AB098A" w:rsidRDefault="0017605D" w:rsidP="00DB396D">
            <w:pPr>
              <w:rPr>
                <w:color w:val="FF0000"/>
                <w:sz w:val="20"/>
                <w:szCs w:val="20"/>
              </w:rPr>
            </w:pPr>
            <w:r w:rsidRPr="00AB098A">
              <w:rPr>
                <w:color w:val="FF0000"/>
                <w:sz w:val="20"/>
                <w:szCs w:val="20"/>
              </w:rPr>
              <w:t xml:space="preserve">   </w:t>
            </w:r>
          </w:p>
        </w:tc>
      </w:tr>
    </w:tbl>
    <w:p w14:paraId="3BA3D9F3" w14:textId="77777777" w:rsidR="0069329D" w:rsidRDefault="0069329D" w:rsidP="00F0044D">
      <w:pPr>
        <w:rPr>
          <w:b/>
          <w:sz w:val="20"/>
          <w:szCs w:val="20"/>
        </w:rPr>
      </w:pPr>
    </w:p>
    <w:p w14:paraId="17ED0CAE" w14:textId="77777777" w:rsidR="004D01A2" w:rsidRPr="00646321" w:rsidRDefault="00FC6ABE" w:rsidP="002C54A1">
      <w:pPr>
        <w:rPr>
          <w:b/>
          <w:sz w:val="20"/>
          <w:szCs w:val="20"/>
        </w:rPr>
      </w:pPr>
      <w:r>
        <w:rPr>
          <w:b/>
        </w:rPr>
        <w:br w:type="page"/>
      </w:r>
    </w:p>
    <w:p w14:paraId="7C0C3B09" w14:textId="77777777" w:rsidR="005F7FEC" w:rsidRPr="005F7FEC" w:rsidRDefault="005F7FEC" w:rsidP="005F7FEC">
      <w:pPr>
        <w:shd w:val="clear" w:color="auto" w:fill="17365D"/>
        <w:ind w:left="-142"/>
        <w:rPr>
          <w:rFonts w:eastAsia="Calibri"/>
          <w:b/>
          <w:sz w:val="40"/>
          <w:szCs w:val="40"/>
          <w:shd w:val="clear" w:color="auto" w:fill="FFFFFF"/>
        </w:rPr>
      </w:pPr>
      <w:r w:rsidRPr="005F7FEC">
        <w:rPr>
          <w:rFonts w:eastAsia="Calibri"/>
          <w:b/>
          <w:sz w:val="40"/>
          <w:szCs w:val="40"/>
          <w:shd w:val="clear" w:color="auto" w:fill="17365D"/>
        </w:rPr>
        <w:lastRenderedPageBreak/>
        <w:t xml:space="preserve">Performance of </w:t>
      </w:r>
      <w:r w:rsidR="00D93810">
        <w:rPr>
          <w:rFonts w:eastAsia="Calibri"/>
          <w:b/>
          <w:sz w:val="40"/>
          <w:szCs w:val="40"/>
          <w:shd w:val="clear" w:color="auto" w:fill="17365D"/>
        </w:rPr>
        <w:t>Corporate Anti-Fraud Team</w:t>
      </w:r>
      <w:r w:rsidRPr="005F7FEC">
        <w:rPr>
          <w:rFonts w:eastAsia="Calibri"/>
          <w:b/>
          <w:sz w:val="40"/>
          <w:szCs w:val="40"/>
          <w:shd w:val="clear" w:color="auto" w:fill="FFFFFF"/>
        </w:rPr>
        <w:t xml:space="preserve"> </w:t>
      </w:r>
    </w:p>
    <w:p w14:paraId="7C41C193" w14:textId="77777777" w:rsidR="00C0282A" w:rsidRDefault="00C0282A" w:rsidP="005F7FEC">
      <w:pPr>
        <w:shd w:val="clear" w:color="auto" w:fill="FFFFFF"/>
        <w:rPr>
          <w:b/>
        </w:rPr>
      </w:pPr>
    </w:p>
    <w:p w14:paraId="01AC279B" w14:textId="77777777" w:rsidR="005F7FEC" w:rsidRPr="005F7FEC" w:rsidRDefault="005F7FEC" w:rsidP="005F7FEC">
      <w:pPr>
        <w:shd w:val="clear" w:color="auto" w:fill="FFFFFF"/>
        <w:rPr>
          <w:rFonts w:eastAsia="Calibri"/>
          <w:b/>
        </w:rPr>
      </w:pPr>
      <w:r w:rsidRPr="005F7FEC">
        <w:rPr>
          <w:rFonts w:eastAsia="Calibri"/>
          <w:b/>
        </w:rPr>
        <w:t xml:space="preserve">Introduction </w:t>
      </w:r>
    </w:p>
    <w:p w14:paraId="44781AE2" w14:textId="77777777" w:rsidR="005F7FEC" w:rsidRPr="005F7FEC" w:rsidRDefault="005F7FEC" w:rsidP="005F7FEC">
      <w:pPr>
        <w:shd w:val="clear" w:color="auto" w:fill="FFFFFF"/>
        <w:rPr>
          <w:rFonts w:eastAsia="Calibri"/>
          <w:b/>
        </w:rPr>
      </w:pPr>
    </w:p>
    <w:p w14:paraId="4EAC2512" w14:textId="77777777" w:rsidR="005F7FEC" w:rsidRPr="005F7FEC" w:rsidRDefault="005F7FEC" w:rsidP="005F7FEC">
      <w:pPr>
        <w:shd w:val="clear" w:color="auto" w:fill="FFFFFF"/>
        <w:rPr>
          <w:rFonts w:eastAsia="Calibri"/>
        </w:rPr>
      </w:pPr>
      <w:r w:rsidRPr="005F7FEC">
        <w:rPr>
          <w:rFonts w:eastAsia="Calibri"/>
        </w:rPr>
        <w:t>A number of Key Performance Indicators (KPIs)</w:t>
      </w:r>
      <w:r w:rsidR="00B6469F">
        <w:rPr>
          <w:rFonts w:eastAsia="Calibri"/>
        </w:rPr>
        <w:t xml:space="preserve"> were agreed as part of the 2019/20</w:t>
      </w:r>
      <w:r w:rsidRPr="005F7FEC">
        <w:rPr>
          <w:rFonts w:eastAsia="Calibri"/>
        </w:rPr>
        <w:t xml:space="preserve"> </w:t>
      </w:r>
      <w:r>
        <w:rPr>
          <w:rFonts w:eastAsia="Calibri"/>
        </w:rPr>
        <w:t>Corporate Anti-Fraud Plan</w:t>
      </w:r>
      <w:r w:rsidRPr="005F7FEC">
        <w:rPr>
          <w:rFonts w:eastAsia="Calibri"/>
        </w:rPr>
        <w:t xml:space="preserve"> and performance against these is set out in the table below:</w:t>
      </w:r>
    </w:p>
    <w:p w14:paraId="3D1713A2" w14:textId="77777777" w:rsidR="004D01A2" w:rsidRDefault="004D01A2" w:rsidP="002C54A1">
      <w:pPr>
        <w:rPr>
          <w:b/>
        </w:rPr>
      </w:pPr>
    </w:p>
    <w:p w14:paraId="3958FD80" w14:textId="77777777" w:rsidR="004D01A2" w:rsidRDefault="004D01A2" w:rsidP="002C54A1">
      <w:pPr>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2"/>
        <w:gridCol w:w="992"/>
        <w:gridCol w:w="851"/>
        <w:gridCol w:w="992"/>
        <w:gridCol w:w="4819"/>
      </w:tblGrid>
      <w:tr w:rsidR="00E579DD" w14:paraId="00BE8D73" w14:textId="77777777" w:rsidTr="00D67E75">
        <w:tc>
          <w:tcPr>
            <w:tcW w:w="851" w:type="dxa"/>
            <w:shd w:val="clear" w:color="auto" w:fill="17365D"/>
          </w:tcPr>
          <w:p w14:paraId="2601F490" w14:textId="77777777" w:rsidR="00E579DD" w:rsidRPr="00D62D67" w:rsidRDefault="00E579DD" w:rsidP="00BD2AE1">
            <w:pPr>
              <w:rPr>
                <w:b/>
              </w:rPr>
            </w:pPr>
            <w:r w:rsidRPr="00D62D67">
              <w:rPr>
                <w:b/>
              </w:rPr>
              <w:t>No.</w:t>
            </w:r>
          </w:p>
        </w:tc>
        <w:tc>
          <w:tcPr>
            <w:tcW w:w="5812" w:type="dxa"/>
            <w:shd w:val="clear" w:color="auto" w:fill="17365D"/>
          </w:tcPr>
          <w:p w14:paraId="341002B8" w14:textId="6EC53B78" w:rsidR="00E579DD" w:rsidRDefault="00E579DD" w:rsidP="00BD2AE1">
            <w:pPr>
              <w:rPr>
                <w:b/>
              </w:rPr>
            </w:pPr>
            <w:r>
              <w:rPr>
                <w:b/>
              </w:rPr>
              <w:t>CAFT Key Performance Indicators 201</w:t>
            </w:r>
            <w:r w:rsidR="00024DBE">
              <w:rPr>
                <w:b/>
              </w:rPr>
              <w:t>9</w:t>
            </w:r>
            <w:r>
              <w:rPr>
                <w:b/>
              </w:rPr>
              <w:t>/</w:t>
            </w:r>
            <w:r w:rsidR="00024DBE">
              <w:rPr>
                <w:b/>
              </w:rPr>
              <w:t>20</w:t>
            </w:r>
          </w:p>
          <w:p w14:paraId="65450E7B" w14:textId="77777777" w:rsidR="00E579DD" w:rsidRPr="00D62D67" w:rsidRDefault="00E579DD" w:rsidP="00BD2AE1">
            <w:pPr>
              <w:rPr>
                <w:b/>
              </w:rPr>
            </w:pPr>
          </w:p>
        </w:tc>
        <w:tc>
          <w:tcPr>
            <w:tcW w:w="992" w:type="dxa"/>
            <w:shd w:val="clear" w:color="auto" w:fill="17365D"/>
          </w:tcPr>
          <w:p w14:paraId="25496305" w14:textId="77777777" w:rsidR="00E579DD" w:rsidRPr="00D62D67" w:rsidRDefault="00E579DD" w:rsidP="00BD2AE1">
            <w:pPr>
              <w:rPr>
                <w:b/>
              </w:rPr>
            </w:pPr>
            <w:r>
              <w:rPr>
                <w:b/>
              </w:rPr>
              <w:t>Target</w:t>
            </w:r>
          </w:p>
        </w:tc>
        <w:tc>
          <w:tcPr>
            <w:tcW w:w="851" w:type="dxa"/>
            <w:tcBorders>
              <w:bottom w:val="single" w:sz="4" w:space="0" w:color="auto"/>
            </w:tcBorders>
            <w:shd w:val="clear" w:color="auto" w:fill="17365D"/>
          </w:tcPr>
          <w:p w14:paraId="0B688498" w14:textId="77777777" w:rsidR="00E579DD" w:rsidRDefault="00E579DD" w:rsidP="005F7FEC">
            <w:pPr>
              <w:rPr>
                <w:b/>
              </w:rPr>
            </w:pPr>
            <w:r>
              <w:rPr>
                <w:b/>
              </w:rPr>
              <w:t xml:space="preserve">Mid-year </w:t>
            </w:r>
          </w:p>
        </w:tc>
        <w:tc>
          <w:tcPr>
            <w:tcW w:w="992" w:type="dxa"/>
            <w:tcBorders>
              <w:bottom w:val="single" w:sz="4" w:space="0" w:color="auto"/>
            </w:tcBorders>
            <w:shd w:val="clear" w:color="auto" w:fill="17365D"/>
          </w:tcPr>
          <w:p w14:paraId="43B38386" w14:textId="77777777" w:rsidR="00E579DD" w:rsidRDefault="00E579DD" w:rsidP="00BD2AE1">
            <w:pPr>
              <w:rPr>
                <w:b/>
              </w:rPr>
            </w:pPr>
            <w:r>
              <w:rPr>
                <w:b/>
              </w:rPr>
              <w:t xml:space="preserve">Year-end </w:t>
            </w:r>
          </w:p>
          <w:p w14:paraId="58C99062" w14:textId="77777777" w:rsidR="00E579DD" w:rsidRDefault="00E579DD" w:rsidP="00BD2AE1">
            <w:pPr>
              <w:rPr>
                <w:b/>
              </w:rPr>
            </w:pPr>
          </w:p>
        </w:tc>
        <w:tc>
          <w:tcPr>
            <w:tcW w:w="4819" w:type="dxa"/>
            <w:tcBorders>
              <w:bottom w:val="single" w:sz="4" w:space="0" w:color="auto"/>
            </w:tcBorders>
            <w:shd w:val="clear" w:color="auto" w:fill="17365D"/>
          </w:tcPr>
          <w:p w14:paraId="47B4DE3C" w14:textId="77777777" w:rsidR="00E579DD" w:rsidRDefault="005F7FEC" w:rsidP="00BD2AE1">
            <w:pPr>
              <w:rPr>
                <w:b/>
              </w:rPr>
            </w:pPr>
            <w:r>
              <w:rPr>
                <w:b/>
              </w:rPr>
              <w:t>Comments</w:t>
            </w:r>
          </w:p>
        </w:tc>
      </w:tr>
      <w:tr w:rsidR="00E579DD" w14:paraId="104956BE" w14:textId="77777777" w:rsidTr="00D93810">
        <w:tc>
          <w:tcPr>
            <w:tcW w:w="851" w:type="dxa"/>
            <w:shd w:val="clear" w:color="auto" w:fill="auto"/>
          </w:tcPr>
          <w:p w14:paraId="29452C9A" w14:textId="77777777" w:rsidR="00E579DD" w:rsidRPr="00016305" w:rsidRDefault="00E579DD" w:rsidP="00BD2AE1">
            <w:pPr>
              <w:rPr>
                <w:sz w:val="20"/>
                <w:szCs w:val="20"/>
              </w:rPr>
            </w:pPr>
            <w:r w:rsidRPr="00016305">
              <w:rPr>
                <w:sz w:val="20"/>
                <w:szCs w:val="20"/>
              </w:rPr>
              <w:t>1.</w:t>
            </w:r>
          </w:p>
        </w:tc>
        <w:tc>
          <w:tcPr>
            <w:tcW w:w="5812" w:type="dxa"/>
            <w:shd w:val="clear" w:color="auto" w:fill="auto"/>
          </w:tcPr>
          <w:p w14:paraId="5DCCCFC9" w14:textId="77777777" w:rsidR="00E579DD" w:rsidRPr="00016305" w:rsidRDefault="00B6469F" w:rsidP="00BD2AE1">
            <w:pPr>
              <w:rPr>
                <w:sz w:val="20"/>
                <w:szCs w:val="20"/>
                <w:lang w:val="en-US"/>
              </w:rPr>
            </w:pPr>
            <w:r>
              <w:rPr>
                <w:sz w:val="20"/>
                <w:szCs w:val="20"/>
                <w:lang w:val="en-US"/>
              </w:rPr>
              <w:t>Recovery of 10</w:t>
            </w:r>
            <w:r w:rsidR="00E579DD" w:rsidRPr="00016305">
              <w:rPr>
                <w:sz w:val="20"/>
                <w:szCs w:val="20"/>
                <w:lang w:val="en-US"/>
              </w:rPr>
              <w:t xml:space="preserve"> social housing un</w:t>
            </w:r>
            <w:r w:rsidR="00A436AB" w:rsidRPr="00016305">
              <w:rPr>
                <w:sz w:val="20"/>
                <w:szCs w:val="20"/>
                <w:lang w:val="en-US"/>
              </w:rPr>
              <w:t>its subject to fraud and misuse</w:t>
            </w:r>
          </w:p>
          <w:p w14:paraId="154C2E12" w14:textId="77777777" w:rsidR="001A16D5" w:rsidRPr="00016305" w:rsidRDefault="001A16D5" w:rsidP="00BD2AE1">
            <w:pPr>
              <w:rPr>
                <w:sz w:val="20"/>
                <w:szCs w:val="20"/>
                <w:lang w:val="en-US"/>
              </w:rPr>
            </w:pPr>
          </w:p>
        </w:tc>
        <w:tc>
          <w:tcPr>
            <w:tcW w:w="992" w:type="dxa"/>
            <w:shd w:val="clear" w:color="auto" w:fill="FFFFFF"/>
          </w:tcPr>
          <w:p w14:paraId="269034D1" w14:textId="77777777" w:rsidR="00E579DD" w:rsidRPr="00016305" w:rsidRDefault="00E579DD" w:rsidP="00BD2AE1">
            <w:pPr>
              <w:rPr>
                <w:sz w:val="20"/>
                <w:szCs w:val="20"/>
              </w:rPr>
            </w:pPr>
            <w:r w:rsidRPr="00016305">
              <w:rPr>
                <w:sz w:val="20"/>
                <w:szCs w:val="20"/>
              </w:rPr>
              <w:t>100%</w:t>
            </w:r>
          </w:p>
        </w:tc>
        <w:tc>
          <w:tcPr>
            <w:tcW w:w="851" w:type="dxa"/>
            <w:shd w:val="clear" w:color="auto" w:fill="FFFFFF"/>
          </w:tcPr>
          <w:p w14:paraId="05470C52" w14:textId="77777777" w:rsidR="00E579DD" w:rsidRPr="00016305" w:rsidRDefault="00B6469F" w:rsidP="00D93810">
            <w:pPr>
              <w:rPr>
                <w:sz w:val="20"/>
                <w:szCs w:val="20"/>
              </w:rPr>
            </w:pPr>
            <w:r>
              <w:rPr>
                <w:sz w:val="20"/>
                <w:szCs w:val="20"/>
              </w:rPr>
              <w:t>40</w:t>
            </w:r>
            <w:r w:rsidR="00E579DD" w:rsidRPr="00016305">
              <w:rPr>
                <w:sz w:val="20"/>
                <w:szCs w:val="20"/>
              </w:rPr>
              <w:t xml:space="preserve">% </w:t>
            </w:r>
            <w:r w:rsidR="00DB106F">
              <w:rPr>
                <w:sz w:val="20"/>
                <w:szCs w:val="20"/>
              </w:rPr>
              <w:t>(4/10)</w:t>
            </w:r>
          </w:p>
        </w:tc>
        <w:tc>
          <w:tcPr>
            <w:tcW w:w="992" w:type="dxa"/>
            <w:shd w:val="clear" w:color="auto" w:fill="FFFFFF"/>
          </w:tcPr>
          <w:p w14:paraId="11B069D4" w14:textId="77777777" w:rsidR="00E579DD" w:rsidRPr="00016305" w:rsidRDefault="00BF097A" w:rsidP="00D93810">
            <w:pPr>
              <w:rPr>
                <w:sz w:val="20"/>
                <w:szCs w:val="20"/>
              </w:rPr>
            </w:pPr>
            <w:r>
              <w:rPr>
                <w:sz w:val="20"/>
                <w:szCs w:val="20"/>
              </w:rPr>
              <w:t>60% (6/10)</w:t>
            </w:r>
          </w:p>
        </w:tc>
        <w:tc>
          <w:tcPr>
            <w:tcW w:w="4819" w:type="dxa"/>
            <w:shd w:val="clear" w:color="auto" w:fill="FFFFFF"/>
          </w:tcPr>
          <w:p w14:paraId="37D89ACB" w14:textId="77777777" w:rsidR="00E579DD" w:rsidRPr="00016305" w:rsidRDefault="00BF097A" w:rsidP="00BD2AE1">
            <w:pPr>
              <w:rPr>
                <w:b/>
                <w:sz w:val="20"/>
                <w:szCs w:val="20"/>
              </w:rPr>
            </w:pPr>
            <w:r>
              <w:rPr>
                <w:b/>
                <w:sz w:val="20"/>
                <w:szCs w:val="20"/>
              </w:rPr>
              <w:t>Not achieved</w:t>
            </w:r>
          </w:p>
          <w:p w14:paraId="0BB7411B" w14:textId="5B32222D" w:rsidR="00DB106F" w:rsidRPr="00016305" w:rsidRDefault="00024DBE" w:rsidP="00BD2AE1">
            <w:pPr>
              <w:rPr>
                <w:sz w:val="20"/>
                <w:szCs w:val="20"/>
              </w:rPr>
            </w:pPr>
            <w:r>
              <w:rPr>
                <w:sz w:val="20"/>
                <w:szCs w:val="20"/>
              </w:rPr>
              <w:t>6</w:t>
            </w:r>
            <w:r w:rsidR="00DB106F">
              <w:rPr>
                <w:sz w:val="20"/>
                <w:szCs w:val="20"/>
              </w:rPr>
              <w:t xml:space="preserve"> social housing units </w:t>
            </w:r>
            <w:r>
              <w:rPr>
                <w:sz w:val="20"/>
                <w:szCs w:val="20"/>
              </w:rPr>
              <w:t xml:space="preserve">were recovered during the year.  The proactive exercise run in Q3 provided disappointing results which </w:t>
            </w:r>
            <w:r w:rsidR="00336D6A">
              <w:rPr>
                <w:sz w:val="20"/>
                <w:szCs w:val="20"/>
              </w:rPr>
              <w:t>was a contributing factor to this outcome.</w:t>
            </w:r>
          </w:p>
        </w:tc>
      </w:tr>
      <w:tr w:rsidR="00E579DD" w14:paraId="1B39F84F" w14:textId="77777777" w:rsidTr="00D93810">
        <w:tc>
          <w:tcPr>
            <w:tcW w:w="851" w:type="dxa"/>
            <w:shd w:val="clear" w:color="auto" w:fill="auto"/>
          </w:tcPr>
          <w:p w14:paraId="689177C2" w14:textId="77777777" w:rsidR="00E579DD" w:rsidRPr="00016305" w:rsidRDefault="00E579DD" w:rsidP="00BD2AE1">
            <w:pPr>
              <w:rPr>
                <w:sz w:val="20"/>
                <w:szCs w:val="20"/>
              </w:rPr>
            </w:pPr>
            <w:r w:rsidRPr="00016305">
              <w:rPr>
                <w:sz w:val="20"/>
                <w:szCs w:val="20"/>
              </w:rPr>
              <w:t>2.</w:t>
            </w:r>
          </w:p>
        </w:tc>
        <w:tc>
          <w:tcPr>
            <w:tcW w:w="5812" w:type="dxa"/>
            <w:shd w:val="clear" w:color="auto" w:fill="auto"/>
          </w:tcPr>
          <w:p w14:paraId="2FAC4B48" w14:textId="77777777" w:rsidR="00E579DD" w:rsidRPr="00016305" w:rsidRDefault="00E579DD" w:rsidP="0066202C">
            <w:pPr>
              <w:rPr>
                <w:sz w:val="20"/>
                <w:szCs w:val="20"/>
              </w:rPr>
            </w:pPr>
            <w:r w:rsidRPr="00016305">
              <w:rPr>
                <w:sz w:val="20"/>
                <w:szCs w:val="20"/>
              </w:rPr>
              <w:t>Fraud validation checks undertaken on Right to Buy applications referred to the CAFT at of</w:t>
            </w:r>
            <w:r w:rsidR="00A436AB" w:rsidRPr="00016305">
              <w:rPr>
                <w:sz w:val="20"/>
                <w:szCs w:val="20"/>
              </w:rPr>
              <w:t>fer stage and before completion</w:t>
            </w:r>
          </w:p>
          <w:p w14:paraId="7FD0E205" w14:textId="77777777" w:rsidR="001A16D5" w:rsidRPr="00016305" w:rsidRDefault="001A16D5" w:rsidP="0066202C">
            <w:pPr>
              <w:rPr>
                <w:sz w:val="20"/>
                <w:szCs w:val="20"/>
              </w:rPr>
            </w:pPr>
          </w:p>
        </w:tc>
        <w:tc>
          <w:tcPr>
            <w:tcW w:w="992" w:type="dxa"/>
            <w:shd w:val="clear" w:color="auto" w:fill="auto"/>
          </w:tcPr>
          <w:p w14:paraId="0B7BC3FE" w14:textId="77777777" w:rsidR="00E579DD" w:rsidRPr="00016305" w:rsidRDefault="00E579DD" w:rsidP="00BD2AE1">
            <w:pPr>
              <w:rPr>
                <w:sz w:val="20"/>
                <w:szCs w:val="20"/>
              </w:rPr>
            </w:pPr>
            <w:r w:rsidRPr="00016305">
              <w:rPr>
                <w:sz w:val="20"/>
                <w:szCs w:val="20"/>
              </w:rPr>
              <w:t>90%</w:t>
            </w:r>
          </w:p>
        </w:tc>
        <w:tc>
          <w:tcPr>
            <w:tcW w:w="851" w:type="dxa"/>
            <w:shd w:val="clear" w:color="auto" w:fill="FFFFFF"/>
          </w:tcPr>
          <w:p w14:paraId="261AA996" w14:textId="77777777" w:rsidR="00E579DD" w:rsidRPr="00016305" w:rsidRDefault="00E579DD" w:rsidP="00D93810">
            <w:pPr>
              <w:rPr>
                <w:sz w:val="20"/>
                <w:szCs w:val="20"/>
              </w:rPr>
            </w:pPr>
            <w:r w:rsidRPr="00016305">
              <w:rPr>
                <w:sz w:val="20"/>
                <w:szCs w:val="20"/>
              </w:rPr>
              <w:t>100%</w:t>
            </w:r>
            <w:r w:rsidR="00DB106F">
              <w:rPr>
                <w:sz w:val="20"/>
                <w:szCs w:val="20"/>
              </w:rPr>
              <w:t xml:space="preserve"> (14/14)</w:t>
            </w:r>
            <w:r w:rsidRPr="00016305">
              <w:rPr>
                <w:sz w:val="20"/>
                <w:szCs w:val="20"/>
              </w:rPr>
              <w:t xml:space="preserve"> </w:t>
            </w:r>
          </w:p>
        </w:tc>
        <w:tc>
          <w:tcPr>
            <w:tcW w:w="992" w:type="dxa"/>
            <w:shd w:val="clear" w:color="auto" w:fill="FFFFFF"/>
          </w:tcPr>
          <w:p w14:paraId="67E8AFD0" w14:textId="77777777" w:rsidR="00E579DD" w:rsidRDefault="00BF097A" w:rsidP="00D93810">
            <w:pPr>
              <w:rPr>
                <w:sz w:val="20"/>
                <w:szCs w:val="20"/>
              </w:rPr>
            </w:pPr>
            <w:r>
              <w:rPr>
                <w:sz w:val="20"/>
                <w:szCs w:val="20"/>
              </w:rPr>
              <w:t>100%</w:t>
            </w:r>
          </w:p>
          <w:p w14:paraId="64ADB3F9" w14:textId="77777777" w:rsidR="00BF097A" w:rsidRPr="00016305" w:rsidRDefault="00BF097A" w:rsidP="00D93810">
            <w:pPr>
              <w:rPr>
                <w:sz w:val="20"/>
                <w:szCs w:val="20"/>
              </w:rPr>
            </w:pPr>
            <w:r>
              <w:rPr>
                <w:sz w:val="20"/>
                <w:szCs w:val="20"/>
              </w:rPr>
              <w:t>(27/27)</w:t>
            </w:r>
          </w:p>
        </w:tc>
        <w:tc>
          <w:tcPr>
            <w:tcW w:w="4819" w:type="dxa"/>
            <w:shd w:val="clear" w:color="auto" w:fill="FFFFFF"/>
          </w:tcPr>
          <w:p w14:paraId="76DE497F" w14:textId="77777777" w:rsidR="00E579DD" w:rsidRPr="00016305" w:rsidRDefault="00BF097A" w:rsidP="00BD2AE1">
            <w:pPr>
              <w:rPr>
                <w:b/>
                <w:sz w:val="20"/>
                <w:szCs w:val="20"/>
              </w:rPr>
            </w:pPr>
            <w:r>
              <w:rPr>
                <w:b/>
                <w:sz w:val="20"/>
                <w:szCs w:val="20"/>
              </w:rPr>
              <w:t>Achieved</w:t>
            </w:r>
          </w:p>
          <w:p w14:paraId="48B67882" w14:textId="77777777" w:rsidR="00D93810" w:rsidRPr="00016305" w:rsidRDefault="00BF097A" w:rsidP="00BD2AE1">
            <w:pPr>
              <w:rPr>
                <w:sz w:val="20"/>
                <w:szCs w:val="20"/>
              </w:rPr>
            </w:pPr>
            <w:r>
              <w:rPr>
                <w:sz w:val="20"/>
                <w:szCs w:val="20"/>
              </w:rPr>
              <w:t>27</w:t>
            </w:r>
            <w:r w:rsidR="00D93810" w:rsidRPr="00016305">
              <w:rPr>
                <w:sz w:val="20"/>
                <w:szCs w:val="20"/>
              </w:rPr>
              <w:t xml:space="preserve"> Right to Buy applications received by the team during in the year</w:t>
            </w:r>
            <w:r>
              <w:rPr>
                <w:sz w:val="20"/>
                <w:szCs w:val="20"/>
              </w:rPr>
              <w:t>,</w:t>
            </w:r>
            <w:r w:rsidR="00D93810" w:rsidRPr="00016305">
              <w:rPr>
                <w:sz w:val="20"/>
                <w:szCs w:val="20"/>
              </w:rPr>
              <w:t xml:space="preserve"> all had anti money laundering checks carried out before purchase or were in progress before a decision made to accept or deny the purchase.</w:t>
            </w:r>
          </w:p>
        </w:tc>
      </w:tr>
      <w:tr w:rsidR="00E579DD" w14:paraId="14B4672F" w14:textId="77777777" w:rsidTr="00D93810">
        <w:trPr>
          <w:trHeight w:val="793"/>
        </w:trPr>
        <w:tc>
          <w:tcPr>
            <w:tcW w:w="851" w:type="dxa"/>
            <w:shd w:val="clear" w:color="auto" w:fill="auto"/>
          </w:tcPr>
          <w:p w14:paraId="19F7A374" w14:textId="77777777" w:rsidR="00E579DD" w:rsidRPr="00016305" w:rsidRDefault="00E579DD" w:rsidP="00BD2AE1">
            <w:pPr>
              <w:rPr>
                <w:sz w:val="20"/>
                <w:szCs w:val="20"/>
              </w:rPr>
            </w:pPr>
            <w:r w:rsidRPr="00016305">
              <w:rPr>
                <w:sz w:val="20"/>
                <w:szCs w:val="20"/>
              </w:rPr>
              <w:t>3.</w:t>
            </w:r>
          </w:p>
        </w:tc>
        <w:tc>
          <w:tcPr>
            <w:tcW w:w="5812" w:type="dxa"/>
            <w:shd w:val="clear" w:color="auto" w:fill="auto"/>
          </w:tcPr>
          <w:p w14:paraId="4C4647D2" w14:textId="77777777" w:rsidR="00E579DD" w:rsidRPr="00016305" w:rsidRDefault="00E579DD" w:rsidP="00BD2AE1">
            <w:pPr>
              <w:rPr>
                <w:sz w:val="20"/>
                <w:szCs w:val="20"/>
              </w:rPr>
            </w:pPr>
            <w:r w:rsidRPr="00016305">
              <w:rPr>
                <w:sz w:val="20"/>
                <w:szCs w:val="20"/>
              </w:rPr>
              <w:t>Internal fraud and corruption referrals risk assessed and resources deployed in 5 working days</w:t>
            </w:r>
          </w:p>
        </w:tc>
        <w:tc>
          <w:tcPr>
            <w:tcW w:w="992" w:type="dxa"/>
            <w:shd w:val="clear" w:color="auto" w:fill="auto"/>
          </w:tcPr>
          <w:p w14:paraId="3F3E2359" w14:textId="77777777" w:rsidR="00E579DD" w:rsidRPr="00016305" w:rsidRDefault="00E579DD" w:rsidP="00BD2AE1">
            <w:pPr>
              <w:rPr>
                <w:sz w:val="20"/>
                <w:szCs w:val="20"/>
              </w:rPr>
            </w:pPr>
            <w:r w:rsidRPr="00016305">
              <w:rPr>
                <w:sz w:val="20"/>
                <w:szCs w:val="20"/>
              </w:rPr>
              <w:t>80%</w:t>
            </w:r>
          </w:p>
        </w:tc>
        <w:tc>
          <w:tcPr>
            <w:tcW w:w="851" w:type="dxa"/>
            <w:shd w:val="clear" w:color="auto" w:fill="FFFFFF"/>
          </w:tcPr>
          <w:p w14:paraId="4DDEE1ED" w14:textId="77777777" w:rsidR="00E579DD" w:rsidRPr="00016305" w:rsidRDefault="00E579DD" w:rsidP="00D93810">
            <w:pPr>
              <w:rPr>
                <w:sz w:val="20"/>
                <w:szCs w:val="20"/>
              </w:rPr>
            </w:pPr>
            <w:r w:rsidRPr="00016305">
              <w:rPr>
                <w:sz w:val="20"/>
                <w:szCs w:val="20"/>
              </w:rPr>
              <w:t>100%</w:t>
            </w:r>
            <w:r w:rsidR="00DB106F">
              <w:rPr>
                <w:sz w:val="20"/>
                <w:szCs w:val="20"/>
              </w:rPr>
              <w:t xml:space="preserve"> (6/6)</w:t>
            </w:r>
            <w:r w:rsidRPr="00016305">
              <w:rPr>
                <w:sz w:val="20"/>
                <w:szCs w:val="20"/>
              </w:rPr>
              <w:t xml:space="preserve"> </w:t>
            </w:r>
          </w:p>
        </w:tc>
        <w:tc>
          <w:tcPr>
            <w:tcW w:w="992" w:type="dxa"/>
            <w:shd w:val="clear" w:color="auto" w:fill="FFFFFF"/>
          </w:tcPr>
          <w:p w14:paraId="7A8E1DB5" w14:textId="77777777" w:rsidR="00E579DD" w:rsidRDefault="00BF097A" w:rsidP="00D93810">
            <w:pPr>
              <w:rPr>
                <w:sz w:val="20"/>
                <w:szCs w:val="20"/>
              </w:rPr>
            </w:pPr>
            <w:r>
              <w:rPr>
                <w:sz w:val="20"/>
                <w:szCs w:val="20"/>
              </w:rPr>
              <w:t>100%</w:t>
            </w:r>
          </w:p>
          <w:p w14:paraId="39169613" w14:textId="0B794C02" w:rsidR="00BF097A" w:rsidRPr="00016305" w:rsidRDefault="00BF097A" w:rsidP="00D93810">
            <w:pPr>
              <w:rPr>
                <w:sz w:val="20"/>
                <w:szCs w:val="20"/>
              </w:rPr>
            </w:pPr>
            <w:r>
              <w:rPr>
                <w:sz w:val="20"/>
                <w:szCs w:val="20"/>
              </w:rPr>
              <w:t>(8/8</w:t>
            </w:r>
            <w:r w:rsidR="00024DBE">
              <w:rPr>
                <w:sz w:val="20"/>
                <w:szCs w:val="20"/>
              </w:rPr>
              <w:t>)</w:t>
            </w:r>
          </w:p>
        </w:tc>
        <w:tc>
          <w:tcPr>
            <w:tcW w:w="4819" w:type="dxa"/>
            <w:shd w:val="clear" w:color="auto" w:fill="FFFFFF"/>
          </w:tcPr>
          <w:p w14:paraId="32883158" w14:textId="77777777" w:rsidR="00E579DD" w:rsidRPr="00016305" w:rsidRDefault="00646321" w:rsidP="00BD2AE1">
            <w:pPr>
              <w:rPr>
                <w:b/>
                <w:sz w:val="20"/>
                <w:szCs w:val="20"/>
              </w:rPr>
            </w:pPr>
            <w:r>
              <w:rPr>
                <w:b/>
                <w:sz w:val="20"/>
                <w:szCs w:val="20"/>
              </w:rPr>
              <w:t>Achiev</w:t>
            </w:r>
            <w:r w:rsidR="00BF097A">
              <w:rPr>
                <w:b/>
                <w:sz w:val="20"/>
                <w:szCs w:val="20"/>
              </w:rPr>
              <w:t>ed</w:t>
            </w:r>
          </w:p>
          <w:p w14:paraId="2DD9B9A9" w14:textId="77777777" w:rsidR="00D93810" w:rsidRPr="00016305" w:rsidRDefault="00D93810" w:rsidP="00016305">
            <w:pPr>
              <w:rPr>
                <w:b/>
                <w:sz w:val="20"/>
                <w:szCs w:val="20"/>
              </w:rPr>
            </w:pPr>
            <w:r w:rsidRPr="00016305">
              <w:rPr>
                <w:sz w:val="20"/>
                <w:szCs w:val="20"/>
              </w:rPr>
              <w:t xml:space="preserve">Of the </w:t>
            </w:r>
            <w:r w:rsidR="00BF097A">
              <w:rPr>
                <w:sz w:val="20"/>
                <w:szCs w:val="20"/>
              </w:rPr>
              <w:t>8</w:t>
            </w:r>
            <w:r w:rsidRPr="00016305">
              <w:rPr>
                <w:sz w:val="20"/>
                <w:szCs w:val="20"/>
              </w:rPr>
              <w:t xml:space="preserve"> internal fraud and corruption referrals received by the team, all 6 (100%) were risk assessed and resources deployed within 5 working days</w:t>
            </w:r>
          </w:p>
        </w:tc>
      </w:tr>
      <w:tr w:rsidR="00E579DD" w14:paraId="66BB7BD9" w14:textId="77777777" w:rsidTr="00D93810">
        <w:trPr>
          <w:trHeight w:val="477"/>
        </w:trPr>
        <w:tc>
          <w:tcPr>
            <w:tcW w:w="851" w:type="dxa"/>
            <w:shd w:val="clear" w:color="auto" w:fill="auto"/>
          </w:tcPr>
          <w:p w14:paraId="67E720EE" w14:textId="77777777" w:rsidR="00E579DD" w:rsidRPr="00016305" w:rsidRDefault="00E579DD" w:rsidP="00BD2AE1">
            <w:pPr>
              <w:rPr>
                <w:sz w:val="20"/>
                <w:szCs w:val="20"/>
              </w:rPr>
            </w:pPr>
            <w:r w:rsidRPr="00016305">
              <w:rPr>
                <w:sz w:val="20"/>
                <w:szCs w:val="20"/>
              </w:rPr>
              <w:t>4.</w:t>
            </w:r>
          </w:p>
        </w:tc>
        <w:tc>
          <w:tcPr>
            <w:tcW w:w="5812" w:type="dxa"/>
            <w:shd w:val="clear" w:color="auto" w:fill="auto"/>
          </w:tcPr>
          <w:p w14:paraId="28E746C5" w14:textId="77777777" w:rsidR="00E579DD" w:rsidRPr="00016305" w:rsidRDefault="00E579DD" w:rsidP="0066202C">
            <w:pPr>
              <w:rPr>
                <w:sz w:val="20"/>
                <w:szCs w:val="20"/>
              </w:rPr>
            </w:pPr>
            <w:r w:rsidRPr="00016305">
              <w:rPr>
                <w:sz w:val="20"/>
                <w:szCs w:val="20"/>
              </w:rPr>
              <w:t>Fraud and corruption referrals risk assessed and resour</w:t>
            </w:r>
            <w:r w:rsidR="00A436AB" w:rsidRPr="00016305">
              <w:rPr>
                <w:sz w:val="20"/>
                <w:szCs w:val="20"/>
              </w:rPr>
              <w:t>ces deployed in 10 working days</w:t>
            </w:r>
          </w:p>
          <w:p w14:paraId="4B92B427" w14:textId="77777777" w:rsidR="001A16D5" w:rsidRPr="00016305" w:rsidRDefault="001A16D5" w:rsidP="0066202C">
            <w:pPr>
              <w:rPr>
                <w:sz w:val="20"/>
                <w:szCs w:val="20"/>
              </w:rPr>
            </w:pPr>
          </w:p>
        </w:tc>
        <w:tc>
          <w:tcPr>
            <w:tcW w:w="992" w:type="dxa"/>
            <w:shd w:val="clear" w:color="auto" w:fill="auto"/>
          </w:tcPr>
          <w:p w14:paraId="56162C09" w14:textId="77777777" w:rsidR="00E579DD" w:rsidRPr="00016305" w:rsidRDefault="00E579DD" w:rsidP="00BD2AE1">
            <w:pPr>
              <w:rPr>
                <w:sz w:val="20"/>
                <w:szCs w:val="20"/>
              </w:rPr>
            </w:pPr>
            <w:r w:rsidRPr="00016305">
              <w:rPr>
                <w:sz w:val="20"/>
                <w:szCs w:val="20"/>
              </w:rPr>
              <w:t>80%</w:t>
            </w:r>
          </w:p>
        </w:tc>
        <w:tc>
          <w:tcPr>
            <w:tcW w:w="851" w:type="dxa"/>
            <w:tcBorders>
              <w:bottom w:val="single" w:sz="4" w:space="0" w:color="auto"/>
            </w:tcBorders>
            <w:shd w:val="clear" w:color="auto" w:fill="FFFFFF"/>
          </w:tcPr>
          <w:p w14:paraId="2BA43661" w14:textId="77777777" w:rsidR="00E579DD" w:rsidRPr="00016305" w:rsidRDefault="00DB106F" w:rsidP="00D93810">
            <w:pPr>
              <w:rPr>
                <w:sz w:val="20"/>
                <w:szCs w:val="20"/>
              </w:rPr>
            </w:pPr>
            <w:r>
              <w:rPr>
                <w:sz w:val="20"/>
                <w:szCs w:val="20"/>
              </w:rPr>
              <w:t>96</w:t>
            </w:r>
            <w:r w:rsidR="00E579DD" w:rsidRPr="00016305">
              <w:rPr>
                <w:sz w:val="20"/>
                <w:szCs w:val="20"/>
              </w:rPr>
              <w:t xml:space="preserve">% </w:t>
            </w:r>
            <w:r>
              <w:rPr>
                <w:sz w:val="20"/>
                <w:szCs w:val="20"/>
              </w:rPr>
              <w:t>(66/69)</w:t>
            </w:r>
          </w:p>
        </w:tc>
        <w:tc>
          <w:tcPr>
            <w:tcW w:w="992" w:type="dxa"/>
            <w:tcBorders>
              <w:bottom w:val="single" w:sz="4" w:space="0" w:color="auto"/>
            </w:tcBorders>
            <w:shd w:val="clear" w:color="auto" w:fill="FFFFFF"/>
          </w:tcPr>
          <w:p w14:paraId="55C6EA4C" w14:textId="77777777" w:rsidR="00E579DD" w:rsidRDefault="00BF097A" w:rsidP="00D93810">
            <w:pPr>
              <w:rPr>
                <w:sz w:val="20"/>
                <w:szCs w:val="20"/>
              </w:rPr>
            </w:pPr>
            <w:r>
              <w:rPr>
                <w:sz w:val="20"/>
                <w:szCs w:val="20"/>
              </w:rPr>
              <w:t>98%</w:t>
            </w:r>
          </w:p>
          <w:p w14:paraId="4B175541" w14:textId="47659E86" w:rsidR="00BF097A" w:rsidRPr="00016305" w:rsidRDefault="00BF097A" w:rsidP="00D93810">
            <w:pPr>
              <w:rPr>
                <w:sz w:val="20"/>
                <w:szCs w:val="20"/>
              </w:rPr>
            </w:pPr>
            <w:r>
              <w:rPr>
                <w:sz w:val="20"/>
                <w:szCs w:val="20"/>
              </w:rPr>
              <w:t>(201/</w:t>
            </w:r>
            <w:r w:rsidR="00024DBE">
              <w:rPr>
                <w:sz w:val="20"/>
                <w:szCs w:val="20"/>
              </w:rPr>
              <w:t xml:space="preserve"> </w:t>
            </w:r>
            <w:r>
              <w:rPr>
                <w:sz w:val="20"/>
                <w:szCs w:val="20"/>
              </w:rPr>
              <w:t>205)</w:t>
            </w:r>
          </w:p>
        </w:tc>
        <w:tc>
          <w:tcPr>
            <w:tcW w:w="4819" w:type="dxa"/>
            <w:tcBorders>
              <w:bottom w:val="single" w:sz="4" w:space="0" w:color="auto"/>
            </w:tcBorders>
            <w:shd w:val="clear" w:color="auto" w:fill="FFFFFF"/>
          </w:tcPr>
          <w:p w14:paraId="592E6AD0" w14:textId="77777777" w:rsidR="00E579DD" w:rsidRPr="00016305" w:rsidRDefault="00646321" w:rsidP="00BD2AE1">
            <w:pPr>
              <w:rPr>
                <w:b/>
                <w:sz w:val="20"/>
                <w:szCs w:val="20"/>
              </w:rPr>
            </w:pPr>
            <w:r>
              <w:rPr>
                <w:b/>
                <w:sz w:val="20"/>
                <w:szCs w:val="20"/>
              </w:rPr>
              <w:t>Achiev</w:t>
            </w:r>
            <w:r w:rsidR="00BF097A">
              <w:rPr>
                <w:b/>
                <w:sz w:val="20"/>
                <w:szCs w:val="20"/>
              </w:rPr>
              <w:t>ed</w:t>
            </w:r>
          </w:p>
          <w:p w14:paraId="64C4A359" w14:textId="77777777" w:rsidR="00D93810" w:rsidRPr="00016305" w:rsidRDefault="00DB106F" w:rsidP="00016305">
            <w:pPr>
              <w:rPr>
                <w:b/>
                <w:sz w:val="20"/>
                <w:szCs w:val="20"/>
              </w:rPr>
            </w:pPr>
            <w:r>
              <w:rPr>
                <w:sz w:val="20"/>
                <w:szCs w:val="20"/>
              </w:rPr>
              <w:t xml:space="preserve">Of the </w:t>
            </w:r>
            <w:r w:rsidR="00BF097A">
              <w:rPr>
                <w:sz w:val="20"/>
                <w:szCs w:val="20"/>
              </w:rPr>
              <w:t>205</w:t>
            </w:r>
            <w:r w:rsidR="00D93810" w:rsidRPr="00016305">
              <w:rPr>
                <w:sz w:val="20"/>
                <w:szCs w:val="20"/>
              </w:rPr>
              <w:t xml:space="preserve"> referrals received </w:t>
            </w:r>
            <w:r>
              <w:rPr>
                <w:sz w:val="20"/>
                <w:szCs w:val="20"/>
              </w:rPr>
              <w:t xml:space="preserve">by the team during the year, </w:t>
            </w:r>
            <w:r w:rsidR="00BF097A">
              <w:rPr>
                <w:sz w:val="20"/>
                <w:szCs w:val="20"/>
              </w:rPr>
              <w:t>201</w:t>
            </w:r>
            <w:r>
              <w:rPr>
                <w:sz w:val="20"/>
                <w:szCs w:val="20"/>
              </w:rPr>
              <w:t xml:space="preserve"> (9</w:t>
            </w:r>
            <w:r w:rsidR="00BF097A">
              <w:rPr>
                <w:sz w:val="20"/>
                <w:szCs w:val="20"/>
              </w:rPr>
              <w:t>8</w:t>
            </w:r>
            <w:r w:rsidR="00D93810" w:rsidRPr="00016305">
              <w:rPr>
                <w:sz w:val="20"/>
                <w:szCs w:val="20"/>
              </w:rPr>
              <w:t>%) were risk assessed and resources deployed within 10 working days.</w:t>
            </w:r>
          </w:p>
        </w:tc>
      </w:tr>
      <w:tr w:rsidR="00E579DD" w14:paraId="5F37A5C8" w14:textId="77777777" w:rsidTr="00D93810">
        <w:trPr>
          <w:trHeight w:val="541"/>
        </w:trPr>
        <w:tc>
          <w:tcPr>
            <w:tcW w:w="851" w:type="dxa"/>
            <w:shd w:val="clear" w:color="auto" w:fill="auto"/>
          </w:tcPr>
          <w:p w14:paraId="418B30F6" w14:textId="77777777" w:rsidR="00E579DD" w:rsidRPr="00016305" w:rsidRDefault="00E579DD" w:rsidP="00BD2AE1">
            <w:pPr>
              <w:rPr>
                <w:sz w:val="20"/>
                <w:szCs w:val="20"/>
              </w:rPr>
            </w:pPr>
            <w:r w:rsidRPr="00016305">
              <w:rPr>
                <w:sz w:val="20"/>
                <w:szCs w:val="20"/>
              </w:rPr>
              <w:t>5.</w:t>
            </w:r>
          </w:p>
        </w:tc>
        <w:tc>
          <w:tcPr>
            <w:tcW w:w="5812" w:type="dxa"/>
            <w:shd w:val="clear" w:color="auto" w:fill="auto"/>
          </w:tcPr>
          <w:p w14:paraId="13E2343F" w14:textId="77777777" w:rsidR="00E579DD" w:rsidRPr="00016305" w:rsidRDefault="00E579DD" w:rsidP="0066202C">
            <w:pPr>
              <w:rPr>
                <w:sz w:val="20"/>
                <w:szCs w:val="20"/>
              </w:rPr>
            </w:pPr>
            <w:r w:rsidRPr="00016305">
              <w:rPr>
                <w:sz w:val="20"/>
                <w:szCs w:val="20"/>
              </w:rPr>
              <w:t xml:space="preserve">Fraud risk recommendations agreed for implementation </w:t>
            </w:r>
          </w:p>
          <w:p w14:paraId="67FB176C" w14:textId="77777777" w:rsidR="001A16D5" w:rsidRPr="00016305" w:rsidRDefault="001A16D5" w:rsidP="0066202C">
            <w:pPr>
              <w:rPr>
                <w:sz w:val="20"/>
                <w:szCs w:val="20"/>
              </w:rPr>
            </w:pPr>
          </w:p>
        </w:tc>
        <w:tc>
          <w:tcPr>
            <w:tcW w:w="992" w:type="dxa"/>
            <w:shd w:val="clear" w:color="auto" w:fill="auto"/>
          </w:tcPr>
          <w:p w14:paraId="26BE6F77" w14:textId="77777777" w:rsidR="00E579DD" w:rsidRPr="00016305" w:rsidRDefault="00DB106F" w:rsidP="00BD2AE1">
            <w:pPr>
              <w:rPr>
                <w:sz w:val="20"/>
                <w:szCs w:val="20"/>
              </w:rPr>
            </w:pPr>
            <w:r>
              <w:rPr>
                <w:sz w:val="20"/>
                <w:szCs w:val="20"/>
              </w:rPr>
              <w:t>70</w:t>
            </w:r>
            <w:r w:rsidR="00E579DD" w:rsidRPr="00016305">
              <w:rPr>
                <w:sz w:val="20"/>
                <w:szCs w:val="20"/>
              </w:rPr>
              <w:t>%</w:t>
            </w:r>
          </w:p>
        </w:tc>
        <w:tc>
          <w:tcPr>
            <w:tcW w:w="851" w:type="dxa"/>
            <w:tcBorders>
              <w:bottom w:val="single" w:sz="4" w:space="0" w:color="auto"/>
            </w:tcBorders>
            <w:shd w:val="clear" w:color="auto" w:fill="FFFFFF"/>
          </w:tcPr>
          <w:p w14:paraId="72C6EAEA" w14:textId="724FFF44" w:rsidR="00E579DD" w:rsidRPr="00016305" w:rsidRDefault="008A2849" w:rsidP="007320CB">
            <w:pPr>
              <w:rPr>
                <w:sz w:val="20"/>
                <w:szCs w:val="20"/>
              </w:rPr>
            </w:pPr>
            <w:r>
              <w:rPr>
                <w:sz w:val="20"/>
                <w:szCs w:val="20"/>
              </w:rPr>
              <w:t>9</w:t>
            </w:r>
            <w:r w:rsidR="00C3339E">
              <w:rPr>
                <w:sz w:val="20"/>
                <w:szCs w:val="20"/>
              </w:rPr>
              <w:t>4</w:t>
            </w:r>
            <w:r w:rsidR="00E579DD" w:rsidRPr="00016305">
              <w:rPr>
                <w:sz w:val="20"/>
                <w:szCs w:val="20"/>
              </w:rPr>
              <w:t>%</w:t>
            </w:r>
            <w:r w:rsidR="00BF097A">
              <w:rPr>
                <w:sz w:val="20"/>
                <w:szCs w:val="20"/>
              </w:rPr>
              <w:t xml:space="preserve"> (</w:t>
            </w:r>
            <w:r w:rsidR="00024DBE">
              <w:rPr>
                <w:sz w:val="20"/>
                <w:szCs w:val="20"/>
              </w:rPr>
              <w:t>15/16</w:t>
            </w:r>
            <w:r w:rsidR="00BF097A">
              <w:rPr>
                <w:sz w:val="20"/>
                <w:szCs w:val="20"/>
              </w:rPr>
              <w:t>)</w:t>
            </w:r>
            <w:r w:rsidR="00E579DD" w:rsidRPr="00016305">
              <w:rPr>
                <w:sz w:val="20"/>
                <w:szCs w:val="20"/>
              </w:rPr>
              <w:t xml:space="preserve"> </w:t>
            </w:r>
          </w:p>
          <w:p w14:paraId="542F062C" w14:textId="77777777" w:rsidR="00E579DD" w:rsidRPr="00016305" w:rsidRDefault="00E579DD" w:rsidP="00BD2AE1">
            <w:pPr>
              <w:rPr>
                <w:sz w:val="20"/>
                <w:szCs w:val="20"/>
              </w:rPr>
            </w:pPr>
          </w:p>
        </w:tc>
        <w:tc>
          <w:tcPr>
            <w:tcW w:w="992" w:type="dxa"/>
            <w:tcBorders>
              <w:bottom w:val="single" w:sz="4" w:space="0" w:color="auto"/>
            </w:tcBorders>
            <w:shd w:val="clear" w:color="auto" w:fill="FFFFFF"/>
          </w:tcPr>
          <w:p w14:paraId="3230CE1D" w14:textId="7B2DDA4B" w:rsidR="00E579DD" w:rsidRDefault="00024DBE" w:rsidP="00D93810">
            <w:pPr>
              <w:rPr>
                <w:sz w:val="20"/>
                <w:szCs w:val="20"/>
              </w:rPr>
            </w:pPr>
            <w:r>
              <w:rPr>
                <w:sz w:val="20"/>
                <w:szCs w:val="20"/>
              </w:rPr>
              <w:t>9</w:t>
            </w:r>
            <w:r w:rsidR="00AB021E">
              <w:rPr>
                <w:sz w:val="20"/>
                <w:szCs w:val="20"/>
              </w:rPr>
              <w:t>6</w:t>
            </w:r>
            <w:r>
              <w:rPr>
                <w:sz w:val="20"/>
                <w:szCs w:val="20"/>
              </w:rPr>
              <w:t>%</w:t>
            </w:r>
          </w:p>
          <w:p w14:paraId="2B0CA6DE" w14:textId="3FA4BC95" w:rsidR="00024DBE" w:rsidRPr="00016305" w:rsidRDefault="00024DBE" w:rsidP="00D93810">
            <w:pPr>
              <w:rPr>
                <w:sz w:val="20"/>
                <w:szCs w:val="20"/>
              </w:rPr>
            </w:pPr>
            <w:r>
              <w:rPr>
                <w:sz w:val="20"/>
                <w:szCs w:val="20"/>
              </w:rPr>
              <w:t>(26/27)</w:t>
            </w:r>
          </w:p>
        </w:tc>
        <w:tc>
          <w:tcPr>
            <w:tcW w:w="4819" w:type="dxa"/>
            <w:tcBorders>
              <w:bottom w:val="single" w:sz="4" w:space="0" w:color="auto"/>
            </w:tcBorders>
            <w:shd w:val="clear" w:color="auto" w:fill="FFFFFF"/>
          </w:tcPr>
          <w:p w14:paraId="1F6A672B" w14:textId="2E0AF75A" w:rsidR="00E579DD" w:rsidRPr="00024DBE" w:rsidRDefault="00024DBE" w:rsidP="007320CB">
            <w:pPr>
              <w:rPr>
                <w:b/>
                <w:sz w:val="20"/>
                <w:szCs w:val="20"/>
              </w:rPr>
            </w:pPr>
            <w:r w:rsidRPr="00024DBE">
              <w:rPr>
                <w:b/>
                <w:sz w:val="20"/>
                <w:szCs w:val="20"/>
              </w:rPr>
              <w:t>Achieved</w:t>
            </w:r>
          </w:p>
          <w:p w14:paraId="5004B243" w14:textId="57FDE91D" w:rsidR="00D93810" w:rsidRPr="00016305" w:rsidRDefault="00F933E0" w:rsidP="007320CB">
            <w:pPr>
              <w:rPr>
                <w:b/>
                <w:sz w:val="20"/>
                <w:szCs w:val="20"/>
              </w:rPr>
            </w:pPr>
            <w:r w:rsidRPr="00024DBE">
              <w:rPr>
                <w:sz w:val="20"/>
                <w:szCs w:val="20"/>
              </w:rPr>
              <w:t xml:space="preserve">Of the </w:t>
            </w:r>
            <w:r w:rsidR="00024DBE" w:rsidRPr="00024DBE">
              <w:rPr>
                <w:sz w:val="20"/>
                <w:szCs w:val="20"/>
              </w:rPr>
              <w:t>27</w:t>
            </w:r>
            <w:r w:rsidR="00D93810" w:rsidRPr="00024DBE">
              <w:rPr>
                <w:sz w:val="20"/>
                <w:szCs w:val="20"/>
              </w:rPr>
              <w:t xml:space="preserve"> fraud risk recommendations made by the team in reports</w:t>
            </w:r>
            <w:r w:rsidR="0000763C" w:rsidRPr="00024DBE">
              <w:rPr>
                <w:sz w:val="20"/>
                <w:szCs w:val="20"/>
              </w:rPr>
              <w:t xml:space="preserve"> and briefing notes, </w:t>
            </w:r>
            <w:r w:rsidR="00024DBE" w:rsidRPr="00024DBE">
              <w:rPr>
                <w:sz w:val="20"/>
                <w:szCs w:val="20"/>
              </w:rPr>
              <w:t>26</w:t>
            </w:r>
            <w:r w:rsidR="0000763C" w:rsidRPr="00024DBE">
              <w:rPr>
                <w:sz w:val="20"/>
                <w:szCs w:val="20"/>
              </w:rPr>
              <w:t xml:space="preserve"> (9</w:t>
            </w:r>
            <w:r w:rsidR="00024DBE" w:rsidRPr="00024DBE">
              <w:rPr>
                <w:sz w:val="20"/>
                <w:szCs w:val="20"/>
              </w:rPr>
              <w:t>8</w:t>
            </w:r>
            <w:r w:rsidR="0000763C" w:rsidRPr="00024DBE">
              <w:rPr>
                <w:sz w:val="20"/>
                <w:szCs w:val="20"/>
              </w:rPr>
              <w:t>%</w:t>
            </w:r>
            <w:r w:rsidR="00D93810" w:rsidRPr="00024DBE">
              <w:rPr>
                <w:sz w:val="20"/>
                <w:szCs w:val="20"/>
              </w:rPr>
              <w:t>) were agreed for</w:t>
            </w:r>
            <w:r w:rsidR="0000763C" w:rsidRPr="00024DBE">
              <w:rPr>
                <w:sz w:val="20"/>
                <w:szCs w:val="20"/>
              </w:rPr>
              <w:t xml:space="preserve"> implementation by management</w:t>
            </w:r>
          </w:p>
        </w:tc>
      </w:tr>
    </w:tbl>
    <w:p w14:paraId="1433C9C6" w14:textId="249CD79F" w:rsidR="00C0282A" w:rsidRPr="00B02750" w:rsidRDefault="00C0282A" w:rsidP="002C54A1">
      <w:pPr>
        <w:rPr>
          <w:b/>
        </w:rPr>
      </w:pPr>
    </w:p>
    <w:p w14:paraId="51444B7D" w14:textId="77777777" w:rsidR="00C0282A" w:rsidRDefault="00C0282A" w:rsidP="002C54A1">
      <w:pPr>
        <w:rPr>
          <w:b/>
        </w:rPr>
      </w:pPr>
    </w:p>
    <w:p w14:paraId="4410E017" w14:textId="77777777" w:rsidR="00C0282A" w:rsidRDefault="00C0282A" w:rsidP="002C54A1">
      <w:pPr>
        <w:rPr>
          <w:b/>
        </w:rPr>
      </w:pPr>
    </w:p>
    <w:p w14:paraId="44FA8A2A" w14:textId="77777777" w:rsidR="00B02750" w:rsidRDefault="00B02750" w:rsidP="002C54A1">
      <w:pPr>
        <w:rPr>
          <w:b/>
        </w:rPr>
      </w:pPr>
    </w:p>
    <w:p w14:paraId="0C691E08" w14:textId="77777777" w:rsidR="00C0282A" w:rsidRDefault="00C0282A" w:rsidP="002C54A1">
      <w:pPr>
        <w:rPr>
          <w:b/>
        </w:rPr>
      </w:pPr>
    </w:p>
    <w:p w14:paraId="37B1E2F0" w14:textId="6F93EF2E" w:rsidR="00C0282A" w:rsidRPr="008C4269" w:rsidRDefault="00C0282A" w:rsidP="00B02750">
      <w:pPr>
        <w:shd w:val="clear" w:color="auto" w:fill="17365D"/>
        <w:ind w:left="-142" w:firstLine="142"/>
        <w:rPr>
          <w:rFonts w:eastAsia="Calibri"/>
          <w:b/>
          <w:sz w:val="40"/>
          <w:szCs w:val="40"/>
        </w:rPr>
      </w:pPr>
      <w:r>
        <w:rPr>
          <w:rFonts w:eastAsia="Calibri"/>
          <w:b/>
          <w:sz w:val="40"/>
          <w:szCs w:val="40"/>
        </w:rPr>
        <w:t>Fraud referrals, outcomes and savings summary</w:t>
      </w:r>
    </w:p>
    <w:p w14:paraId="3E5BD659" w14:textId="77777777" w:rsidR="00C0282A" w:rsidRDefault="00C0282A" w:rsidP="002C54A1">
      <w:pPr>
        <w:rPr>
          <w:b/>
        </w:rPr>
      </w:pPr>
    </w:p>
    <w:tbl>
      <w:tblPr>
        <w:tblpPr w:leftFromText="180" w:rightFromText="180" w:vertAnchor="page" w:horzAnchor="margin" w:tblpY="2266"/>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793"/>
        <w:gridCol w:w="4159"/>
      </w:tblGrid>
      <w:tr w:rsidR="00DE25D5" w14:paraId="6E068172" w14:textId="77777777" w:rsidTr="00DE25D5">
        <w:trPr>
          <w:trHeight w:val="827"/>
        </w:trPr>
        <w:tc>
          <w:tcPr>
            <w:tcW w:w="5402" w:type="dxa"/>
            <w:shd w:val="clear" w:color="auto" w:fill="D9D9D9"/>
          </w:tcPr>
          <w:p w14:paraId="643AE0E8" w14:textId="77777777" w:rsidR="00DE25D5" w:rsidRPr="004E23DA" w:rsidRDefault="00DE25D5" w:rsidP="004E23DA">
            <w:pPr>
              <w:jc w:val="center"/>
              <w:rPr>
                <w:b/>
              </w:rPr>
            </w:pPr>
            <w:r w:rsidRPr="004E23DA">
              <w:rPr>
                <w:b/>
              </w:rPr>
              <w:t>Fraud Risk Area</w:t>
            </w:r>
          </w:p>
        </w:tc>
        <w:tc>
          <w:tcPr>
            <w:tcW w:w="4793" w:type="dxa"/>
            <w:shd w:val="clear" w:color="auto" w:fill="D9D9D9"/>
          </w:tcPr>
          <w:p w14:paraId="41D3168C" w14:textId="77777777" w:rsidR="00DE25D5" w:rsidRPr="004E23DA" w:rsidRDefault="00DE25D5" w:rsidP="004E23DA">
            <w:pPr>
              <w:jc w:val="center"/>
              <w:rPr>
                <w:b/>
              </w:rPr>
            </w:pPr>
            <w:r w:rsidRPr="004E23DA">
              <w:rPr>
                <w:b/>
              </w:rPr>
              <w:t>1</w:t>
            </w:r>
            <w:r>
              <w:rPr>
                <w:b/>
              </w:rPr>
              <w:t>9</w:t>
            </w:r>
            <w:r w:rsidRPr="004E23DA">
              <w:rPr>
                <w:b/>
              </w:rPr>
              <w:t>/</w:t>
            </w:r>
            <w:r>
              <w:rPr>
                <w:b/>
              </w:rPr>
              <w:t>20</w:t>
            </w:r>
          </w:p>
          <w:p w14:paraId="5A14D2C6" w14:textId="77777777" w:rsidR="00DE25D5" w:rsidRPr="004E23DA" w:rsidRDefault="00DE25D5" w:rsidP="004E23DA">
            <w:pPr>
              <w:jc w:val="center"/>
              <w:rPr>
                <w:b/>
              </w:rPr>
            </w:pPr>
            <w:r w:rsidRPr="004E23DA">
              <w:rPr>
                <w:b/>
              </w:rPr>
              <w:t>Q1 &amp; 2</w:t>
            </w:r>
          </w:p>
        </w:tc>
        <w:tc>
          <w:tcPr>
            <w:tcW w:w="4159" w:type="dxa"/>
            <w:shd w:val="clear" w:color="auto" w:fill="D9D9D9"/>
          </w:tcPr>
          <w:p w14:paraId="6BE6CE91" w14:textId="77777777" w:rsidR="00DE25D5" w:rsidRDefault="00DE25D5" w:rsidP="004E23DA">
            <w:pPr>
              <w:jc w:val="center"/>
              <w:rPr>
                <w:b/>
              </w:rPr>
            </w:pPr>
            <w:r>
              <w:rPr>
                <w:b/>
              </w:rPr>
              <w:t>19/20</w:t>
            </w:r>
          </w:p>
          <w:p w14:paraId="108F8C50" w14:textId="77777777" w:rsidR="00DE25D5" w:rsidRPr="004E23DA" w:rsidRDefault="00DE25D5" w:rsidP="004E23DA">
            <w:pPr>
              <w:jc w:val="center"/>
              <w:rPr>
                <w:b/>
              </w:rPr>
            </w:pPr>
            <w:r>
              <w:rPr>
                <w:b/>
              </w:rPr>
              <w:t>Q3 &amp; 4</w:t>
            </w:r>
          </w:p>
        </w:tc>
      </w:tr>
      <w:tr w:rsidR="00DE25D5" w14:paraId="3D9DA985" w14:textId="77777777" w:rsidTr="00DE25D5">
        <w:trPr>
          <w:trHeight w:val="436"/>
        </w:trPr>
        <w:tc>
          <w:tcPr>
            <w:tcW w:w="5402" w:type="dxa"/>
            <w:shd w:val="clear" w:color="auto" w:fill="auto"/>
          </w:tcPr>
          <w:p w14:paraId="0AA0EEF3" w14:textId="77777777" w:rsidR="00DE25D5" w:rsidRPr="004E23DA" w:rsidRDefault="00DE25D5" w:rsidP="004E23DA">
            <w:pPr>
              <w:rPr>
                <w:b/>
              </w:rPr>
            </w:pPr>
            <w:r w:rsidRPr="004E23DA">
              <w:rPr>
                <w:b/>
              </w:rPr>
              <w:t>Housing application fraud</w:t>
            </w:r>
          </w:p>
          <w:p w14:paraId="5AFB8F8E" w14:textId="77777777" w:rsidR="00DE25D5" w:rsidRDefault="00DE25D5" w:rsidP="004E23DA">
            <w:r>
              <w:t>Referrals</w:t>
            </w:r>
          </w:p>
          <w:p w14:paraId="7FBF2C06" w14:textId="77777777" w:rsidR="00DE25D5" w:rsidRDefault="00DE25D5" w:rsidP="004E23DA">
            <w:r>
              <w:t>Positive outcomes</w:t>
            </w:r>
          </w:p>
          <w:p w14:paraId="6408E288" w14:textId="77777777" w:rsidR="00DE25D5" w:rsidRDefault="00DE25D5" w:rsidP="004E23DA">
            <w:r>
              <w:t>Savings</w:t>
            </w:r>
          </w:p>
          <w:p w14:paraId="43E75B17" w14:textId="77777777" w:rsidR="00DE25D5" w:rsidRPr="003155F7" w:rsidRDefault="00DE25D5" w:rsidP="004E23DA"/>
        </w:tc>
        <w:tc>
          <w:tcPr>
            <w:tcW w:w="4793" w:type="dxa"/>
            <w:shd w:val="clear" w:color="auto" w:fill="auto"/>
          </w:tcPr>
          <w:p w14:paraId="1D9E5979" w14:textId="77777777" w:rsidR="00DE25D5" w:rsidRDefault="00DE25D5" w:rsidP="004E23DA"/>
          <w:p w14:paraId="5EDB41CF" w14:textId="77777777" w:rsidR="00DE25D5" w:rsidRDefault="00DE25D5" w:rsidP="004E23DA">
            <w:r>
              <w:t>11</w:t>
            </w:r>
          </w:p>
          <w:p w14:paraId="1C788DA6" w14:textId="77777777" w:rsidR="00DE25D5" w:rsidRDefault="00DE25D5" w:rsidP="004E23DA">
            <w:r>
              <w:t>0</w:t>
            </w:r>
          </w:p>
          <w:p w14:paraId="57DEDEE9" w14:textId="77777777" w:rsidR="00DE25D5" w:rsidRPr="00001418" w:rsidRDefault="00DE25D5" w:rsidP="004E23DA">
            <w:r>
              <w:t>0</w:t>
            </w:r>
          </w:p>
        </w:tc>
        <w:tc>
          <w:tcPr>
            <w:tcW w:w="4159" w:type="dxa"/>
          </w:tcPr>
          <w:p w14:paraId="1C1A8709" w14:textId="77777777" w:rsidR="00DE25D5" w:rsidRPr="00416822" w:rsidRDefault="00DE25D5" w:rsidP="004E23DA">
            <w:pPr>
              <w:rPr>
                <w:color w:val="FF0000"/>
              </w:rPr>
            </w:pPr>
          </w:p>
          <w:p w14:paraId="40BB1772" w14:textId="77777777" w:rsidR="00DE25D5" w:rsidRPr="00B02750" w:rsidRDefault="00DE25D5" w:rsidP="004E23DA">
            <w:r w:rsidRPr="00B02750">
              <w:t>2</w:t>
            </w:r>
          </w:p>
          <w:p w14:paraId="647F4C93" w14:textId="77777777" w:rsidR="00F22559" w:rsidRPr="00B02750" w:rsidRDefault="00F22559" w:rsidP="004E23DA">
            <w:r w:rsidRPr="00B02750">
              <w:t>2</w:t>
            </w:r>
          </w:p>
          <w:p w14:paraId="02A98D48" w14:textId="1B669B9C" w:rsidR="00DE25D5" w:rsidRPr="00416822" w:rsidRDefault="00F22559" w:rsidP="004E23DA">
            <w:pPr>
              <w:rPr>
                <w:color w:val="FF0000"/>
              </w:rPr>
            </w:pPr>
            <w:r w:rsidRPr="00B02750">
              <w:t>£99,000</w:t>
            </w:r>
            <w:r w:rsidR="00416822" w:rsidRPr="00B02750">
              <w:t xml:space="preserve"> </w:t>
            </w:r>
            <w:r w:rsidR="00416822" w:rsidRPr="00B02750">
              <w:rPr>
                <w:sz w:val="18"/>
                <w:szCs w:val="18"/>
              </w:rPr>
              <w:t>(2 x applications rejected)</w:t>
            </w:r>
          </w:p>
        </w:tc>
      </w:tr>
      <w:tr w:rsidR="00DE25D5" w14:paraId="6FA2170B" w14:textId="77777777" w:rsidTr="00DE25D5">
        <w:trPr>
          <w:trHeight w:val="414"/>
        </w:trPr>
        <w:tc>
          <w:tcPr>
            <w:tcW w:w="5402" w:type="dxa"/>
            <w:shd w:val="clear" w:color="auto" w:fill="auto"/>
          </w:tcPr>
          <w:p w14:paraId="647D2D28" w14:textId="77777777" w:rsidR="00DE25D5" w:rsidRPr="004E23DA" w:rsidRDefault="00DE25D5" w:rsidP="004E23DA">
            <w:pPr>
              <w:rPr>
                <w:b/>
              </w:rPr>
            </w:pPr>
            <w:r w:rsidRPr="004E23DA">
              <w:rPr>
                <w:b/>
              </w:rPr>
              <w:t>Blue badge</w:t>
            </w:r>
          </w:p>
          <w:p w14:paraId="313A4035" w14:textId="77777777" w:rsidR="00DE25D5" w:rsidRDefault="00DE25D5" w:rsidP="004E23DA">
            <w:r>
              <w:t>Referrals</w:t>
            </w:r>
          </w:p>
          <w:p w14:paraId="22BE0194" w14:textId="77777777" w:rsidR="00DE25D5" w:rsidRDefault="00DE25D5" w:rsidP="004E23DA">
            <w:r>
              <w:t>Positive outcomes</w:t>
            </w:r>
          </w:p>
          <w:p w14:paraId="6E4F59D0" w14:textId="77777777" w:rsidR="00DE25D5" w:rsidRDefault="00DE25D5" w:rsidP="004E23DA">
            <w:r>
              <w:t>Savings</w:t>
            </w:r>
          </w:p>
          <w:p w14:paraId="7535729A" w14:textId="77777777" w:rsidR="00DE25D5" w:rsidRPr="003155F7" w:rsidRDefault="00DE25D5" w:rsidP="004E23DA"/>
        </w:tc>
        <w:tc>
          <w:tcPr>
            <w:tcW w:w="4793" w:type="dxa"/>
            <w:shd w:val="clear" w:color="auto" w:fill="auto"/>
          </w:tcPr>
          <w:p w14:paraId="1E7A6978" w14:textId="77777777" w:rsidR="00DE25D5" w:rsidRDefault="00DE25D5" w:rsidP="004E23DA"/>
          <w:p w14:paraId="592CED3F" w14:textId="77777777" w:rsidR="00DE25D5" w:rsidRDefault="00DE25D5" w:rsidP="004E23DA">
            <w:r>
              <w:t>10</w:t>
            </w:r>
          </w:p>
          <w:p w14:paraId="2B965CC2" w14:textId="77777777" w:rsidR="00DE25D5" w:rsidRPr="004E23DA" w:rsidRDefault="00DE25D5" w:rsidP="004E23DA">
            <w:pPr>
              <w:rPr>
                <w:sz w:val="18"/>
                <w:szCs w:val="18"/>
              </w:rPr>
            </w:pPr>
            <w:r>
              <w:t xml:space="preserve">1 </w:t>
            </w:r>
            <w:r>
              <w:rPr>
                <w:sz w:val="18"/>
                <w:szCs w:val="18"/>
              </w:rPr>
              <w:t>(successful prosecution</w:t>
            </w:r>
            <w:r w:rsidRPr="004E23DA">
              <w:rPr>
                <w:sz w:val="18"/>
                <w:szCs w:val="18"/>
              </w:rPr>
              <w:t>)</w:t>
            </w:r>
          </w:p>
          <w:p w14:paraId="42715445" w14:textId="77777777" w:rsidR="00DE25D5" w:rsidRPr="00001418" w:rsidRDefault="00DE25D5" w:rsidP="00E959A3">
            <w:r>
              <w:t xml:space="preserve">£980 </w:t>
            </w:r>
            <w:r w:rsidRPr="00E97022">
              <w:rPr>
                <w:sz w:val="18"/>
                <w:szCs w:val="18"/>
              </w:rPr>
              <w:t>(£500 notional outcome, £250 court costs, £200 fine and £30 victim surcharge)</w:t>
            </w:r>
          </w:p>
        </w:tc>
        <w:tc>
          <w:tcPr>
            <w:tcW w:w="4159" w:type="dxa"/>
          </w:tcPr>
          <w:p w14:paraId="10BAB416" w14:textId="77777777" w:rsidR="00DE25D5" w:rsidRPr="00416822" w:rsidRDefault="00DE25D5" w:rsidP="004E23DA">
            <w:pPr>
              <w:rPr>
                <w:color w:val="FF0000"/>
              </w:rPr>
            </w:pPr>
          </w:p>
          <w:p w14:paraId="659B5B60" w14:textId="77777777" w:rsidR="00DE25D5" w:rsidRPr="00B02750" w:rsidRDefault="00DE25D5" w:rsidP="004E23DA">
            <w:r w:rsidRPr="00B02750">
              <w:t>6</w:t>
            </w:r>
          </w:p>
          <w:p w14:paraId="140D523C" w14:textId="77777777" w:rsidR="00F22559" w:rsidRPr="00B02750" w:rsidRDefault="00F22559" w:rsidP="004E23DA">
            <w:r w:rsidRPr="00B02750">
              <w:t>0</w:t>
            </w:r>
          </w:p>
          <w:p w14:paraId="5E1891E6" w14:textId="77777777" w:rsidR="00F22559" w:rsidRPr="00416822" w:rsidRDefault="00F22559" w:rsidP="004E23DA">
            <w:pPr>
              <w:rPr>
                <w:color w:val="FF0000"/>
              </w:rPr>
            </w:pPr>
            <w:r w:rsidRPr="00B02750">
              <w:t>0</w:t>
            </w:r>
          </w:p>
        </w:tc>
      </w:tr>
      <w:tr w:rsidR="00DE25D5" w14:paraId="6412D3AC" w14:textId="77777777" w:rsidTr="00DE25D5">
        <w:trPr>
          <w:trHeight w:val="414"/>
        </w:trPr>
        <w:tc>
          <w:tcPr>
            <w:tcW w:w="5402" w:type="dxa"/>
            <w:shd w:val="clear" w:color="auto" w:fill="auto"/>
          </w:tcPr>
          <w:p w14:paraId="385AEFD1" w14:textId="77777777" w:rsidR="00DE25D5" w:rsidRPr="004E23DA" w:rsidRDefault="00DE25D5" w:rsidP="004E23DA">
            <w:pPr>
              <w:rPr>
                <w:b/>
              </w:rPr>
            </w:pPr>
            <w:r w:rsidRPr="004E23DA">
              <w:rPr>
                <w:b/>
              </w:rPr>
              <w:t>Fraud other</w:t>
            </w:r>
          </w:p>
          <w:p w14:paraId="13AEF148" w14:textId="77777777" w:rsidR="00DE25D5" w:rsidRDefault="00DE25D5" w:rsidP="004E23DA">
            <w:r>
              <w:t>Referrals</w:t>
            </w:r>
          </w:p>
          <w:p w14:paraId="396B0E28" w14:textId="77777777" w:rsidR="00DE25D5" w:rsidRDefault="00DE25D5" w:rsidP="004E23DA">
            <w:r>
              <w:t>Positive outcomes</w:t>
            </w:r>
          </w:p>
          <w:p w14:paraId="5B0AD472" w14:textId="77777777" w:rsidR="00DE25D5" w:rsidRDefault="00DE25D5" w:rsidP="004E23DA">
            <w:r>
              <w:t>Savings</w:t>
            </w:r>
          </w:p>
          <w:p w14:paraId="4984F0EE" w14:textId="77777777" w:rsidR="00DE25D5" w:rsidRPr="003155F7" w:rsidRDefault="00DE25D5" w:rsidP="004E23DA"/>
        </w:tc>
        <w:tc>
          <w:tcPr>
            <w:tcW w:w="4793" w:type="dxa"/>
            <w:shd w:val="clear" w:color="auto" w:fill="auto"/>
          </w:tcPr>
          <w:p w14:paraId="0C1BBA4C" w14:textId="77777777" w:rsidR="00DE25D5" w:rsidRDefault="00DE25D5" w:rsidP="004E23DA"/>
          <w:p w14:paraId="1EC6B54D" w14:textId="77777777" w:rsidR="00DE25D5" w:rsidRDefault="00DE25D5" w:rsidP="004E23DA">
            <w:r>
              <w:t>3</w:t>
            </w:r>
          </w:p>
          <w:p w14:paraId="48260D95" w14:textId="77777777" w:rsidR="00DE25D5" w:rsidRDefault="00DE25D5" w:rsidP="004E23DA">
            <w:r>
              <w:t>0</w:t>
            </w:r>
          </w:p>
          <w:p w14:paraId="76E3F953" w14:textId="77777777" w:rsidR="00DE25D5" w:rsidRDefault="00DE25D5" w:rsidP="004E23DA">
            <w:r>
              <w:t>0</w:t>
            </w:r>
          </w:p>
          <w:p w14:paraId="22E0CA15" w14:textId="77777777" w:rsidR="00DE25D5" w:rsidRPr="00001418" w:rsidRDefault="00DE25D5" w:rsidP="004E23DA"/>
        </w:tc>
        <w:tc>
          <w:tcPr>
            <w:tcW w:w="4159" w:type="dxa"/>
          </w:tcPr>
          <w:p w14:paraId="24B554E2" w14:textId="77777777" w:rsidR="00DE25D5" w:rsidRPr="00416822" w:rsidRDefault="00DE25D5" w:rsidP="004E23DA">
            <w:pPr>
              <w:rPr>
                <w:color w:val="FF0000"/>
              </w:rPr>
            </w:pPr>
          </w:p>
          <w:p w14:paraId="5B861FFE" w14:textId="77777777" w:rsidR="00DE25D5" w:rsidRPr="00B02750" w:rsidRDefault="00DE25D5" w:rsidP="004E23DA">
            <w:r w:rsidRPr="00B02750">
              <w:t>1</w:t>
            </w:r>
          </w:p>
          <w:p w14:paraId="43862E76" w14:textId="7DBBED7E" w:rsidR="00F22559" w:rsidRPr="00B02750" w:rsidRDefault="00416822" w:rsidP="004E23DA">
            <w:r w:rsidRPr="00B02750">
              <w:t>0</w:t>
            </w:r>
          </w:p>
          <w:p w14:paraId="0DB140E2" w14:textId="371545FF" w:rsidR="006B4350" w:rsidRPr="00416822" w:rsidRDefault="00416822" w:rsidP="004E23DA">
            <w:pPr>
              <w:rPr>
                <w:color w:val="FF0000"/>
              </w:rPr>
            </w:pPr>
            <w:r w:rsidRPr="00B02750">
              <w:t>0</w:t>
            </w:r>
          </w:p>
        </w:tc>
      </w:tr>
      <w:tr w:rsidR="00DE25D5" w14:paraId="160FE908" w14:textId="77777777" w:rsidTr="00DE25D5">
        <w:trPr>
          <w:trHeight w:val="849"/>
        </w:trPr>
        <w:tc>
          <w:tcPr>
            <w:tcW w:w="5402" w:type="dxa"/>
            <w:shd w:val="clear" w:color="auto" w:fill="auto"/>
          </w:tcPr>
          <w:p w14:paraId="414F68D1" w14:textId="77777777" w:rsidR="00DE25D5" w:rsidRPr="004E23DA" w:rsidRDefault="00DE25D5" w:rsidP="004E23DA">
            <w:pPr>
              <w:rPr>
                <w:b/>
              </w:rPr>
            </w:pPr>
            <w:r w:rsidRPr="004E23DA">
              <w:rPr>
                <w:b/>
              </w:rPr>
              <w:t>No Recourse to Public Funds</w:t>
            </w:r>
          </w:p>
          <w:p w14:paraId="1E74F305" w14:textId="77777777" w:rsidR="00DE25D5" w:rsidRDefault="00DE25D5" w:rsidP="004E23DA">
            <w:r>
              <w:t>Referrals</w:t>
            </w:r>
          </w:p>
          <w:p w14:paraId="079BB92C" w14:textId="77777777" w:rsidR="00DE25D5" w:rsidRDefault="00DE25D5" w:rsidP="004E23DA">
            <w:r>
              <w:t>Positive outcomes</w:t>
            </w:r>
          </w:p>
          <w:p w14:paraId="7C1B82DB" w14:textId="77777777" w:rsidR="00DE25D5" w:rsidRDefault="00DE25D5" w:rsidP="004E23DA">
            <w:r>
              <w:t>Savings</w:t>
            </w:r>
          </w:p>
          <w:p w14:paraId="4677FC67" w14:textId="77777777" w:rsidR="00DE25D5" w:rsidRPr="003155F7" w:rsidRDefault="00DE25D5" w:rsidP="004E23DA"/>
        </w:tc>
        <w:tc>
          <w:tcPr>
            <w:tcW w:w="4793" w:type="dxa"/>
            <w:shd w:val="clear" w:color="auto" w:fill="auto"/>
          </w:tcPr>
          <w:p w14:paraId="041AC42D" w14:textId="77777777" w:rsidR="00DE25D5" w:rsidRDefault="00DE25D5" w:rsidP="004E23DA"/>
          <w:p w14:paraId="11E4B423" w14:textId="77777777" w:rsidR="00DE25D5" w:rsidRDefault="00DE25D5" w:rsidP="004E23DA">
            <w:r>
              <w:t>2</w:t>
            </w:r>
          </w:p>
          <w:p w14:paraId="0DDF68A0" w14:textId="77777777" w:rsidR="00DE25D5" w:rsidRDefault="00DE25D5" w:rsidP="004E23DA">
            <w:r>
              <w:t>1</w:t>
            </w:r>
          </w:p>
          <w:p w14:paraId="4EBD87A8" w14:textId="77777777" w:rsidR="00DE25D5" w:rsidRPr="00001418" w:rsidRDefault="00DE25D5" w:rsidP="004E23DA">
            <w:r>
              <w:t>£2626</w:t>
            </w:r>
          </w:p>
        </w:tc>
        <w:tc>
          <w:tcPr>
            <w:tcW w:w="4159" w:type="dxa"/>
          </w:tcPr>
          <w:p w14:paraId="580A2773" w14:textId="77777777" w:rsidR="00DE25D5" w:rsidRPr="00416822" w:rsidRDefault="00DE25D5" w:rsidP="004E23DA">
            <w:pPr>
              <w:rPr>
                <w:color w:val="FF0000"/>
              </w:rPr>
            </w:pPr>
          </w:p>
          <w:p w14:paraId="18984471" w14:textId="77777777" w:rsidR="00DE25D5" w:rsidRPr="00B02750" w:rsidRDefault="00DE25D5" w:rsidP="004E23DA">
            <w:r w:rsidRPr="00B02750">
              <w:t>1</w:t>
            </w:r>
          </w:p>
          <w:p w14:paraId="2486587A" w14:textId="77777777" w:rsidR="006B4350" w:rsidRPr="00B02750" w:rsidRDefault="006B4350" w:rsidP="004E23DA">
            <w:r w:rsidRPr="00B02750">
              <w:t>0</w:t>
            </w:r>
          </w:p>
          <w:p w14:paraId="50FD075A" w14:textId="77777777" w:rsidR="006B4350" w:rsidRPr="00416822" w:rsidRDefault="006B4350" w:rsidP="004E23DA">
            <w:pPr>
              <w:rPr>
                <w:color w:val="FF0000"/>
              </w:rPr>
            </w:pPr>
            <w:r w:rsidRPr="00B02750">
              <w:t>0</w:t>
            </w:r>
          </w:p>
        </w:tc>
      </w:tr>
      <w:tr w:rsidR="00DE25D5" w14:paraId="52052397" w14:textId="77777777" w:rsidTr="00DE25D5">
        <w:trPr>
          <w:trHeight w:val="414"/>
        </w:trPr>
        <w:tc>
          <w:tcPr>
            <w:tcW w:w="5402" w:type="dxa"/>
            <w:shd w:val="clear" w:color="auto" w:fill="auto"/>
          </w:tcPr>
          <w:p w14:paraId="7B6B8981" w14:textId="77777777" w:rsidR="00DE25D5" w:rsidRPr="004E23DA" w:rsidRDefault="00DE25D5" w:rsidP="004E23DA">
            <w:pPr>
              <w:rPr>
                <w:b/>
              </w:rPr>
            </w:pPr>
            <w:r w:rsidRPr="004E23DA">
              <w:rPr>
                <w:b/>
              </w:rPr>
              <w:t>Revenues/CT/CTRS/HB</w:t>
            </w:r>
          </w:p>
          <w:p w14:paraId="67872381" w14:textId="77777777" w:rsidR="00DE25D5" w:rsidRDefault="00DE25D5" w:rsidP="004E23DA">
            <w:r>
              <w:t>Referrals</w:t>
            </w:r>
          </w:p>
          <w:p w14:paraId="4669FFA1" w14:textId="77777777" w:rsidR="00DE25D5" w:rsidRDefault="00DE25D5" w:rsidP="004E23DA">
            <w:r>
              <w:t>Positive outcomes</w:t>
            </w:r>
          </w:p>
          <w:p w14:paraId="6B808F50" w14:textId="77777777" w:rsidR="00DE25D5" w:rsidRDefault="00DE25D5" w:rsidP="004E23DA">
            <w:r>
              <w:t>Savings</w:t>
            </w:r>
          </w:p>
          <w:p w14:paraId="3E06E95F" w14:textId="77777777" w:rsidR="00DE25D5" w:rsidRPr="003155F7" w:rsidRDefault="00DE25D5" w:rsidP="004E23DA"/>
        </w:tc>
        <w:tc>
          <w:tcPr>
            <w:tcW w:w="4793" w:type="dxa"/>
            <w:shd w:val="clear" w:color="auto" w:fill="auto"/>
          </w:tcPr>
          <w:p w14:paraId="2A33BE59" w14:textId="77777777" w:rsidR="00DE25D5" w:rsidRDefault="00DE25D5" w:rsidP="004E23DA"/>
          <w:p w14:paraId="1E1A3832" w14:textId="77777777" w:rsidR="00DE25D5" w:rsidRDefault="00DE25D5" w:rsidP="004E23DA">
            <w:r>
              <w:t>4</w:t>
            </w:r>
          </w:p>
          <w:p w14:paraId="6EEAA429" w14:textId="77777777" w:rsidR="00DE25D5" w:rsidRDefault="00DE25D5" w:rsidP="004E23DA">
            <w:r>
              <w:t>10</w:t>
            </w:r>
          </w:p>
          <w:p w14:paraId="3AA8BC78" w14:textId="77777777" w:rsidR="00DE25D5" w:rsidRPr="00013023" w:rsidRDefault="00DE25D5" w:rsidP="004E23DA">
            <w:pPr>
              <w:rPr>
                <w:sz w:val="18"/>
                <w:szCs w:val="18"/>
              </w:rPr>
            </w:pPr>
            <w:r>
              <w:t xml:space="preserve">£90,290.55 </w:t>
            </w:r>
            <w:r>
              <w:rPr>
                <w:sz w:val="18"/>
                <w:szCs w:val="18"/>
              </w:rPr>
              <w:t>(mainly linked housing fraud investigations)</w:t>
            </w:r>
          </w:p>
        </w:tc>
        <w:tc>
          <w:tcPr>
            <w:tcW w:w="4159" w:type="dxa"/>
          </w:tcPr>
          <w:p w14:paraId="76531FEE" w14:textId="77777777" w:rsidR="00DE25D5" w:rsidRPr="00B02750" w:rsidRDefault="00DE25D5" w:rsidP="004E23DA"/>
          <w:p w14:paraId="6DFCF395" w14:textId="77777777" w:rsidR="00DE25D5" w:rsidRPr="00B02750" w:rsidRDefault="00DE25D5" w:rsidP="004E23DA">
            <w:r w:rsidRPr="00B02750">
              <w:t>5</w:t>
            </w:r>
          </w:p>
          <w:p w14:paraId="1C197A5E" w14:textId="77777777" w:rsidR="006B4350" w:rsidRPr="00B02750" w:rsidRDefault="006B4350" w:rsidP="004E23DA">
            <w:r w:rsidRPr="00B02750">
              <w:t>4</w:t>
            </w:r>
          </w:p>
          <w:p w14:paraId="18781688" w14:textId="77777777" w:rsidR="006B4350" w:rsidRPr="00B02750" w:rsidRDefault="006B4350" w:rsidP="004E23DA">
            <w:r w:rsidRPr="00B02750">
              <w:t xml:space="preserve">£58,364.05 </w:t>
            </w:r>
            <w:r w:rsidRPr="00B02750">
              <w:rPr>
                <w:sz w:val="18"/>
                <w:szCs w:val="18"/>
              </w:rPr>
              <w:t>(mainly linked housing fraud investigations)</w:t>
            </w:r>
          </w:p>
        </w:tc>
      </w:tr>
      <w:tr w:rsidR="00DE25D5" w14:paraId="3B3841A1" w14:textId="77777777" w:rsidTr="00DE25D5">
        <w:trPr>
          <w:trHeight w:val="414"/>
        </w:trPr>
        <w:tc>
          <w:tcPr>
            <w:tcW w:w="5402" w:type="dxa"/>
            <w:shd w:val="clear" w:color="auto" w:fill="auto"/>
          </w:tcPr>
          <w:p w14:paraId="2A333CEF" w14:textId="77777777" w:rsidR="00DE25D5" w:rsidRPr="004E23DA" w:rsidRDefault="00DE25D5" w:rsidP="004E23DA">
            <w:pPr>
              <w:rPr>
                <w:b/>
              </w:rPr>
            </w:pPr>
            <w:r w:rsidRPr="004E23DA">
              <w:rPr>
                <w:b/>
              </w:rPr>
              <w:t>Internal</w:t>
            </w:r>
          </w:p>
          <w:p w14:paraId="0AB577F1" w14:textId="77777777" w:rsidR="00DE25D5" w:rsidRPr="009D572F" w:rsidRDefault="00DE25D5" w:rsidP="004E23DA">
            <w:r w:rsidRPr="009D572F">
              <w:t>Referrals</w:t>
            </w:r>
          </w:p>
          <w:p w14:paraId="6EC7073B" w14:textId="77777777" w:rsidR="00DE25D5" w:rsidRPr="009D572F" w:rsidRDefault="00DE25D5" w:rsidP="004E23DA">
            <w:r w:rsidRPr="009D572F">
              <w:t>Positive outcomes</w:t>
            </w:r>
          </w:p>
          <w:p w14:paraId="646D427D" w14:textId="77777777" w:rsidR="00DE25D5" w:rsidRPr="009D572F" w:rsidRDefault="00DE25D5" w:rsidP="004E23DA">
            <w:r w:rsidRPr="009D572F">
              <w:lastRenderedPageBreak/>
              <w:t>Savings</w:t>
            </w:r>
          </w:p>
          <w:p w14:paraId="4E9CB084" w14:textId="77777777" w:rsidR="00DE25D5" w:rsidRPr="009D572F" w:rsidRDefault="00DE25D5" w:rsidP="004E23DA"/>
        </w:tc>
        <w:tc>
          <w:tcPr>
            <w:tcW w:w="4793" w:type="dxa"/>
            <w:shd w:val="clear" w:color="auto" w:fill="auto"/>
          </w:tcPr>
          <w:p w14:paraId="6C2CA280" w14:textId="77777777" w:rsidR="00DE25D5" w:rsidRPr="009D572F" w:rsidRDefault="00DE25D5" w:rsidP="004E23DA"/>
          <w:p w14:paraId="0762ED95" w14:textId="77777777" w:rsidR="00DE25D5" w:rsidRPr="009D572F" w:rsidRDefault="00DE25D5" w:rsidP="004E23DA">
            <w:r>
              <w:t>7</w:t>
            </w:r>
          </w:p>
          <w:p w14:paraId="794121F3" w14:textId="77777777" w:rsidR="00DE25D5" w:rsidRDefault="00DE25D5" w:rsidP="004E23DA">
            <w:pPr>
              <w:rPr>
                <w:sz w:val="18"/>
                <w:szCs w:val="18"/>
              </w:rPr>
            </w:pPr>
            <w:r>
              <w:lastRenderedPageBreak/>
              <w:t xml:space="preserve">1 </w:t>
            </w:r>
            <w:r w:rsidRPr="00E0020F">
              <w:rPr>
                <w:sz w:val="18"/>
                <w:szCs w:val="18"/>
              </w:rPr>
              <w:t>(successful prosecution of former employee for purchase card misuse)</w:t>
            </w:r>
          </w:p>
          <w:p w14:paraId="52C069A7" w14:textId="77777777" w:rsidR="00DE25D5" w:rsidRPr="00E0020F" w:rsidRDefault="00DE25D5" w:rsidP="004E23DA">
            <w:r w:rsidRPr="00E0020F">
              <w:t>£579.42</w:t>
            </w:r>
          </w:p>
        </w:tc>
        <w:tc>
          <w:tcPr>
            <w:tcW w:w="4159" w:type="dxa"/>
          </w:tcPr>
          <w:p w14:paraId="3AA2079B" w14:textId="77777777" w:rsidR="00DE25D5" w:rsidRPr="00416822" w:rsidRDefault="00DE25D5" w:rsidP="004E23DA">
            <w:pPr>
              <w:rPr>
                <w:color w:val="FF0000"/>
              </w:rPr>
            </w:pPr>
          </w:p>
          <w:p w14:paraId="750A9A46" w14:textId="77777777" w:rsidR="00DE25D5" w:rsidRPr="00B02750" w:rsidRDefault="00DE25D5" w:rsidP="004E23DA">
            <w:r w:rsidRPr="00B02750">
              <w:t>2</w:t>
            </w:r>
          </w:p>
          <w:p w14:paraId="32CD6EE2" w14:textId="78DBAFC6" w:rsidR="006B4350" w:rsidRPr="00B02750" w:rsidRDefault="00416822" w:rsidP="004E23DA">
            <w:r w:rsidRPr="00B02750">
              <w:t>1</w:t>
            </w:r>
          </w:p>
          <w:p w14:paraId="0E23ACE5" w14:textId="77777777" w:rsidR="006B4350" w:rsidRPr="00B02750" w:rsidRDefault="006B4350" w:rsidP="004E23DA"/>
          <w:p w14:paraId="09AC8A09" w14:textId="08D5E23B" w:rsidR="006B4350" w:rsidRPr="00416822" w:rsidRDefault="00416822" w:rsidP="004E23DA">
            <w:pPr>
              <w:rPr>
                <w:color w:val="FF0000"/>
              </w:rPr>
            </w:pPr>
            <w:r w:rsidRPr="00B02750">
              <w:t xml:space="preserve">£75,102.1 </w:t>
            </w:r>
            <w:r w:rsidRPr="00B02750">
              <w:rPr>
                <w:sz w:val="18"/>
                <w:szCs w:val="18"/>
              </w:rPr>
              <w:t>(Proceeds of crime act award against former employee)</w:t>
            </w:r>
          </w:p>
        </w:tc>
      </w:tr>
      <w:tr w:rsidR="00DE25D5" w14:paraId="4D81CE93" w14:textId="77777777" w:rsidTr="00DE25D5">
        <w:trPr>
          <w:trHeight w:val="414"/>
        </w:trPr>
        <w:tc>
          <w:tcPr>
            <w:tcW w:w="5402" w:type="dxa"/>
            <w:shd w:val="clear" w:color="auto" w:fill="auto"/>
          </w:tcPr>
          <w:p w14:paraId="783A8677" w14:textId="77777777" w:rsidR="00DE25D5" w:rsidRPr="004E23DA" w:rsidRDefault="00DE25D5" w:rsidP="004E23DA">
            <w:pPr>
              <w:rPr>
                <w:b/>
              </w:rPr>
            </w:pPr>
            <w:r w:rsidRPr="004E23DA">
              <w:rPr>
                <w:b/>
              </w:rPr>
              <w:lastRenderedPageBreak/>
              <w:t>Right to Buy</w:t>
            </w:r>
          </w:p>
          <w:p w14:paraId="78458048" w14:textId="77777777" w:rsidR="00DE25D5" w:rsidRDefault="00DE25D5" w:rsidP="004E23DA">
            <w:r>
              <w:t>Referrals</w:t>
            </w:r>
          </w:p>
          <w:p w14:paraId="1D575081" w14:textId="77777777" w:rsidR="00DE25D5" w:rsidRDefault="00DE25D5" w:rsidP="004E23DA">
            <w:r>
              <w:t>Positive outcomes</w:t>
            </w:r>
          </w:p>
          <w:p w14:paraId="39B83291" w14:textId="77777777" w:rsidR="00DE25D5" w:rsidRDefault="00DE25D5" w:rsidP="004E23DA">
            <w:r>
              <w:t>Savings</w:t>
            </w:r>
          </w:p>
          <w:p w14:paraId="6A78A603" w14:textId="77777777" w:rsidR="00DE25D5" w:rsidRPr="003155F7" w:rsidRDefault="00DE25D5" w:rsidP="004E23DA"/>
        </w:tc>
        <w:tc>
          <w:tcPr>
            <w:tcW w:w="4793" w:type="dxa"/>
            <w:shd w:val="clear" w:color="auto" w:fill="auto"/>
          </w:tcPr>
          <w:p w14:paraId="3185A9EA" w14:textId="77777777" w:rsidR="00DE25D5" w:rsidRDefault="00DE25D5" w:rsidP="004E23DA"/>
          <w:p w14:paraId="6FD45444" w14:textId="77777777" w:rsidR="00DE25D5" w:rsidRDefault="00DE25D5" w:rsidP="004E23DA">
            <w:r>
              <w:t>14</w:t>
            </w:r>
          </w:p>
          <w:p w14:paraId="3FB1A1E0" w14:textId="77777777" w:rsidR="00DE25D5" w:rsidRDefault="00DE25D5" w:rsidP="004E23DA">
            <w:r>
              <w:t>4</w:t>
            </w:r>
          </w:p>
          <w:p w14:paraId="1C9BDAE1" w14:textId="77777777" w:rsidR="00DE25D5" w:rsidRPr="00001418" w:rsidRDefault="00DE25D5" w:rsidP="00E0020F">
            <w:r>
              <w:t xml:space="preserve">£439,500 </w:t>
            </w:r>
            <w:r w:rsidRPr="00E0020F">
              <w:rPr>
                <w:sz w:val="18"/>
                <w:szCs w:val="18"/>
              </w:rPr>
              <w:t>(4 x RTB applications rejected)</w:t>
            </w:r>
          </w:p>
        </w:tc>
        <w:tc>
          <w:tcPr>
            <w:tcW w:w="4159" w:type="dxa"/>
          </w:tcPr>
          <w:p w14:paraId="2228AEAD" w14:textId="77777777" w:rsidR="00F22559" w:rsidRPr="00416822" w:rsidRDefault="00F22559" w:rsidP="004E23DA">
            <w:pPr>
              <w:rPr>
                <w:color w:val="FF0000"/>
              </w:rPr>
            </w:pPr>
          </w:p>
          <w:p w14:paraId="0DC1DA86" w14:textId="77777777" w:rsidR="00DE25D5" w:rsidRPr="00B02750" w:rsidRDefault="00F22559" w:rsidP="004E23DA">
            <w:r w:rsidRPr="00B02750">
              <w:t>20</w:t>
            </w:r>
          </w:p>
          <w:p w14:paraId="60E8F895" w14:textId="77777777" w:rsidR="006B4350" w:rsidRPr="00B02750" w:rsidRDefault="006B4350" w:rsidP="004E23DA">
            <w:r w:rsidRPr="00B02750">
              <w:t>2</w:t>
            </w:r>
          </w:p>
          <w:p w14:paraId="649544EB" w14:textId="6248229C" w:rsidR="006B4350" w:rsidRPr="00416822" w:rsidRDefault="006B4350" w:rsidP="004E23DA">
            <w:pPr>
              <w:rPr>
                <w:color w:val="FF0000"/>
              </w:rPr>
            </w:pPr>
            <w:r w:rsidRPr="00B02750">
              <w:t>£218,500</w:t>
            </w:r>
            <w:r w:rsidR="00C87586" w:rsidRPr="00B02750">
              <w:t xml:space="preserve"> </w:t>
            </w:r>
            <w:r w:rsidR="00C87586" w:rsidRPr="00B02750">
              <w:rPr>
                <w:sz w:val="18"/>
                <w:szCs w:val="18"/>
              </w:rPr>
              <w:t>(2 x RTB applications rejected)</w:t>
            </w:r>
          </w:p>
        </w:tc>
      </w:tr>
      <w:tr w:rsidR="00DE25D5" w14:paraId="576A7CDC" w14:textId="77777777" w:rsidTr="00DE25D5">
        <w:trPr>
          <w:trHeight w:val="414"/>
        </w:trPr>
        <w:tc>
          <w:tcPr>
            <w:tcW w:w="5402" w:type="dxa"/>
            <w:shd w:val="clear" w:color="auto" w:fill="auto"/>
          </w:tcPr>
          <w:p w14:paraId="07DECA21" w14:textId="77777777" w:rsidR="00DE25D5" w:rsidRPr="004E23DA" w:rsidRDefault="00DE25D5" w:rsidP="004E23DA">
            <w:pPr>
              <w:rPr>
                <w:b/>
              </w:rPr>
            </w:pPr>
            <w:r w:rsidRPr="004E23DA">
              <w:rPr>
                <w:b/>
              </w:rPr>
              <w:t>Social care/grants</w:t>
            </w:r>
          </w:p>
          <w:p w14:paraId="08FCF69C" w14:textId="77777777" w:rsidR="00DE25D5" w:rsidRDefault="00DE25D5" w:rsidP="004E23DA">
            <w:r>
              <w:t>Referrals</w:t>
            </w:r>
          </w:p>
          <w:p w14:paraId="6B8D6F00" w14:textId="77777777" w:rsidR="00DE25D5" w:rsidRDefault="00DE25D5" w:rsidP="004E23DA">
            <w:r>
              <w:t>Positive outcomes</w:t>
            </w:r>
          </w:p>
          <w:p w14:paraId="2BE832E9" w14:textId="77777777" w:rsidR="00DE25D5" w:rsidRDefault="00DE25D5" w:rsidP="004E23DA">
            <w:r>
              <w:t>Savings</w:t>
            </w:r>
          </w:p>
          <w:p w14:paraId="05F5DB4E" w14:textId="77777777" w:rsidR="00DE25D5" w:rsidRPr="003155F7" w:rsidRDefault="00DE25D5" w:rsidP="004E23DA"/>
        </w:tc>
        <w:tc>
          <w:tcPr>
            <w:tcW w:w="4793" w:type="dxa"/>
            <w:shd w:val="clear" w:color="auto" w:fill="auto"/>
          </w:tcPr>
          <w:p w14:paraId="43EAFDD4" w14:textId="77777777" w:rsidR="00DE25D5" w:rsidRDefault="00DE25D5" w:rsidP="004E23DA"/>
          <w:p w14:paraId="2918743A" w14:textId="77777777" w:rsidR="00DE25D5" w:rsidRDefault="00DE25D5" w:rsidP="004E23DA">
            <w:r>
              <w:t>6</w:t>
            </w:r>
          </w:p>
          <w:p w14:paraId="2A2F901E" w14:textId="77777777" w:rsidR="00DE25D5" w:rsidRDefault="00DE25D5" w:rsidP="004E23DA">
            <w:r>
              <w:t>4</w:t>
            </w:r>
          </w:p>
          <w:p w14:paraId="7DB88777" w14:textId="77777777" w:rsidR="00DE25D5" w:rsidRPr="00857C23" w:rsidRDefault="00DE25D5" w:rsidP="004E23DA">
            <w:pPr>
              <w:rPr>
                <w:sz w:val="18"/>
                <w:szCs w:val="18"/>
              </w:rPr>
            </w:pPr>
            <w:r>
              <w:t xml:space="preserve">£248,326.12 </w:t>
            </w:r>
            <w:r w:rsidRPr="00857C23">
              <w:rPr>
                <w:sz w:val="18"/>
                <w:szCs w:val="18"/>
              </w:rPr>
              <w:t>(2 x residential care cases, 2 x personal budget cases</w:t>
            </w:r>
            <w:r>
              <w:rPr>
                <w:sz w:val="18"/>
                <w:szCs w:val="18"/>
              </w:rPr>
              <w:t>)</w:t>
            </w:r>
          </w:p>
          <w:p w14:paraId="2B31E5C1" w14:textId="77777777" w:rsidR="00DE25D5" w:rsidRPr="00001418" w:rsidRDefault="00DE25D5" w:rsidP="004E23DA"/>
        </w:tc>
        <w:tc>
          <w:tcPr>
            <w:tcW w:w="4159" w:type="dxa"/>
          </w:tcPr>
          <w:p w14:paraId="3447EAF7" w14:textId="77777777" w:rsidR="00DE25D5" w:rsidRPr="00416822" w:rsidRDefault="00DE25D5" w:rsidP="004E23DA">
            <w:pPr>
              <w:rPr>
                <w:color w:val="FF0000"/>
              </w:rPr>
            </w:pPr>
          </w:p>
          <w:p w14:paraId="460DD501" w14:textId="77777777" w:rsidR="00F22559" w:rsidRPr="00B02750" w:rsidRDefault="00F22559" w:rsidP="004E23DA">
            <w:r w:rsidRPr="00B02750">
              <w:t>2</w:t>
            </w:r>
          </w:p>
          <w:p w14:paraId="1BB167F3" w14:textId="77777777" w:rsidR="006B4350" w:rsidRPr="00B02750" w:rsidRDefault="00BF097A" w:rsidP="004E23DA">
            <w:r w:rsidRPr="00B02750">
              <w:t>1</w:t>
            </w:r>
          </w:p>
          <w:p w14:paraId="7FED8DEB" w14:textId="58379735" w:rsidR="006B4350" w:rsidRPr="00416822" w:rsidRDefault="00BF097A" w:rsidP="004E23DA">
            <w:pPr>
              <w:rPr>
                <w:color w:val="FF0000"/>
              </w:rPr>
            </w:pPr>
            <w:r w:rsidRPr="00B02750">
              <w:t>£26,627.64</w:t>
            </w:r>
            <w:r w:rsidR="00B02750">
              <w:t xml:space="preserve"> (1 personal budget case)</w:t>
            </w:r>
          </w:p>
        </w:tc>
      </w:tr>
      <w:tr w:rsidR="00DE25D5" w14:paraId="2FB082B7" w14:textId="77777777" w:rsidTr="00DE25D5">
        <w:trPr>
          <w:trHeight w:val="414"/>
        </w:trPr>
        <w:tc>
          <w:tcPr>
            <w:tcW w:w="5402" w:type="dxa"/>
            <w:shd w:val="clear" w:color="auto" w:fill="auto"/>
          </w:tcPr>
          <w:p w14:paraId="2B44F3F1" w14:textId="77777777" w:rsidR="00DE25D5" w:rsidRPr="004E23DA" w:rsidRDefault="00DE25D5" w:rsidP="004E23DA">
            <w:pPr>
              <w:rPr>
                <w:b/>
              </w:rPr>
            </w:pPr>
            <w:r w:rsidRPr="004E23DA">
              <w:rPr>
                <w:b/>
              </w:rPr>
              <w:t>Tenancy</w:t>
            </w:r>
          </w:p>
          <w:p w14:paraId="0F4F2D3C" w14:textId="77777777" w:rsidR="00DE25D5" w:rsidRDefault="00DE25D5" w:rsidP="004E23DA">
            <w:r>
              <w:t>Referrals</w:t>
            </w:r>
          </w:p>
          <w:p w14:paraId="6B87119D" w14:textId="77777777" w:rsidR="00DE25D5" w:rsidRDefault="00DE25D5" w:rsidP="004E23DA">
            <w:r>
              <w:t>Positive outcomes</w:t>
            </w:r>
          </w:p>
          <w:p w14:paraId="37BBA46E" w14:textId="77777777" w:rsidR="00DE25D5" w:rsidRDefault="00DE25D5" w:rsidP="004E23DA">
            <w:r>
              <w:t>Savings</w:t>
            </w:r>
          </w:p>
          <w:p w14:paraId="349FD51F" w14:textId="77777777" w:rsidR="00DE25D5" w:rsidRPr="003155F7" w:rsidRDefault="00DE25D5" w:rsidP="004E23DA"/>
        </w:tc>
        <w:tc>
          <w:tcPr>
            <w:tcW w:w="4793" w:type="dxa"/>
            <w:shd w:val="clear" w:color="auto" w:fill="auto"/>
          </w:tcPr>
          <w:p w14:paraId="72BFD2D6" w14:textId="77777777" w:rsidR="00DE25D5" w:rsidRDefault="00DE25D5" w:rsidP="004E23DA"/>
          <w:p w14:paraId="44084E02" w14:textId="77777777" w:rsidR="00DE25D5" w:rsidRDefault="00DE25D5" w:rsidP="004E23DA">
            <w:r>
              <w:t>18</w:t>
            </w:r>
          </w:p>
          <w:p w14:paraId="0DA57CB8" w14:textId="77777777" w:rsidR="00DE25D5" w:rsidRDefault="00DE25D5" w:rsidP="004E23DA">
            <w:r>
              <w:t>4</w:t>
            </w:r>
          </w:p>
          <w:p w14:paraId="20AE5817" w14:textId="77777777" w:rsidR="00DE25D5" w:rsidRPr="006E3744" w:rsidRDefault="00DE25D5" w:rsidP="004E23DA">
            <w:r>
              <w:t xml:space="preserve">£372,000 </w:t>
            </w:r>
            <w:r>
              <w:rPr>
                <w:sz w:val="20"/>
              </w:rPr>
              <w:t>(4</w:t>
            </w:r>
            <w:r w:rsidRPr="004E23DA">
              <w:rPr>
                <w:sz w:val="20"/>
              </w:rPr>
              <w:t xml:space="preserve"> x tenancies r</w:t>
            </w:r>
            <w:r>
              <w:rPr>
                <w:sz w:val="20"/>
              </w:rPr>
              <w:t>ecovered</w:t>
            </w:r>
            <w:r w:rsidRPr="004E23DA">
              <w:rPr>
                <w:sz w:val="20"/>
              </w:rPr>
              <w:t>)</w:t>
            </w:r>
          </w:p>
        </w:tc>
        <w:tc>
          <w:tcPr>
            <w:tcW w:w="4159" w:type="dxa"/>
          </w:tcPr>
          <w:p w14:paraId="5B763B80" w14:textId="77777777" w:rsidR="00DE25D5" w:rsidRPr="00416822" w:rsidRDefault="00DE25D5" w:rsidP="004E23DA">
            <w:pPr>
              <w:rPr>
                <w:color w:val="FF0000"/>
              </w:rPr>
            </w:pPr>
          </w:p>
          <w:p w14:paraId="61D592D6" w14:textId="77777777" w:rsidR="00F22559" w:rsidRPr="00B02750" w:rsidRDefault="00F22559" w:rsidP="004E23DA">
            <w:r w:rsidRPr="00B02750">
              <w:t>99</w:t>
            </w:r>
          </w:p>
          <w:p w14:paraId="596F06D0" w14:textId="77777777" w:rsidR="00F22559" w:rsidRPr="00B02750" w:rsidRDefault="00F22559" w:rsidP="004E23DA">
            <w:r w:rsidRPr="00B02750">
              <w:t>2</w:t>
            </w:r>
          </w:p>
          <w:p w14:paraId="1365490F" w14:textId="2DBCA8AC" w:rsidR="006B4350" w:rsidRPr="00416822" w:rsidRDefault="006B4350" w:rsidP="004E23DA">
            <w:pPr>
              <w:rPr>
                <w:color w:val="FF0000"/>
              </w:rPr>
            </w:pPr>
            <w:r w:rsidRPr="00B02750">
              <w:t>£186,000</w:t>
            </w:r>
            <w:r w:rsidR="00C87586" w:rsidRPr="00B02750">
              <w:t xml:space="preserve"> </w:t>
            </w:r>
            <w:r w:rsidR="00C87586" w:rsidRPr="00B02750">
              <w:rPr>
                <w:sz w:val="18"/>
                <w:szCs w:val="18"/>
              </w:rPr>
              <w:t>(2 x tenancies recovered)</w:t>
            </w:r>
          </w:p>
        </w:tc>
      </w:tr>
      <w:tr w:rsidR="00DE25D5" w14:paraId="464AB05A" w14:textId="77777777" w:rsidTr="00DE25D5">
        <w:trPr>
          <w:trHeight w:val="414"/>
        </w:trPr>
        <w:tc>
          <w:tcPr>
            <w:tcW w:w="5402" w:type="dxa"/>
            <w:shd w:val="clear" w:color="auto" w:fill="auto"/>
          </w:tcPr>
          <w:p w14:paraId="21937E26" w14:textId="77777777" w:rsidR="00DE25D5" w:rsidRDefault="00DE25D5" w:rsidP="004E23DA">
            <w:pPr>
              <w:rPr>
                <w:b/>
              </w:rPr>
            </w:pPr>
            <w:r w:rsidRPr="004E23DA">
              <w:rPr>
                <w:b/>
              </w:rPr>
              <w:t>NFI</w:t>
            </w:r>
            <w:r>
              <w:rPr>
                <w:b/>
              </w:rPr>
              <w:t xml:space="preserve"> </w:t>
            </w:r>
          </w:p>
          <w:p w14:paraId="325B3F36" w14:textId="77777777" w:rsidR="00DE25D5" w:rsidRPr="00A520AD" w:rsidRDefault="00DE25D5" w:rsidP="004E23DA">
            <w:r w:rsidRPr="00A520AD">
              <w:t>Positive outcomes</w:t>
            </w:r>
          </w:p>
          <w:p w14:paraId="7194D86D" w14:textId="77777777" w:rsidR="00DE25D5" w:rsidRPr="000551FB" w:rsidRDefault="00DE25D5" w:rsidP="004E23DA">
            <w:r w:rsidRPr="000551FB">
              <w:t>Savings</w:t>
            </w:r>
          </w:p>
          <w:p w14:paraId="763FB752" w14:textId="77777777" w:rsidR="00DE25D5" w:rsidRPr="004E23DA" w:rsidRDefault="00DE25D5" w:rsidP="004E23DA">
            <w:pPr>
              <w:rPr>
                <w:b/>
              </w:rPr>
            </w:pPr>
          </w:p>
        </w:tc>
        <w:tc>
          <w:tcPr>
            <w:tcW w:w="4793" w:type="dxa"/>
            <w:shd w:val="clear" w:color="auto" w:fill="auto"/>
          </w:tcPr>
          <w:p w14:paraId="0568AA05" w14:textId="77777777" w:rsidR="00DE25D5" w:rsidRDefault="00DE25D5" w:rsidP="004E23DA"/>
          <w:p w14:paraId="1B4F4495" w14:textId="77777777" w:rsidR="00DE25D5" w:rsidRDefault="00DE25D5" w:rsidP="004E23DA">
            <w:r>
              <w:t>379</w:t>
            </w:r>
          </w:p>
          <w:p w14:paraId="4B06B589" w14:textId="6E616ABC" w:rsidR="00DE25D5" w:rsidRPr="00D52DC2" w:rsidRDefault="00DE25D5" w:rsidP="004E23DA">
            <w:r>
              <w:t>£</w:t>
            </w:r>
            <w:r w:rsidRPr="00D52DC2">
              <w:rPr>
                <w:color w:val="000000"/>
                <w:lang w:val="en-US"/>
              </w:rPr>
              <w:t>894,857.34</w:t>
            </w:r>
            <w:r>
              <w:rPr>
                <w:color w:val="000000"/>
                <w:lang w:val="en-US"/>
              </w:rPr>
              <w:t xml:space="preserve"> </w:t>
            </w:r>
            <w:r w:rsidRPr="00915505">
              <w:rPr>
                <w:color w:val="000000"/>
                <w:sz w:val="18"/>
                <w:szCs w:val="18"/>
                <w:lang w:val="en-US"/>
              </w:rPr>
              <w:t>(see section 6 for detail</w:t>
            </w:r>
            <w:r>
              <w:rPr>
                <w:color w:val="000000"/>
                <w:sz w:val="18"/>
                <w:szCs w:val="18"/>
                <w:lang w:val="en-US"/>
              </w:rPr>
              <w:t xml:space="preserve">.  </w:t>
            </w:r>
            <w:r w:rsidR="002C38E1">
              <w:rPr>
                <w:color w:val="000000"/>
                <w:sz w:val="18"/>
                <w:szCs w:val="18"/>
                <w:lang w:val="en-US"/>
              </w:rPr>
              <w:t>Mid year 19/20 running total</w:t>
            </w:r>
            <w:r w:rsidRPr="00915505">
              <w:rPr>
                <w:color w:val="000000"/>
                <w:sz w:val="18"/>
                <w:szCs w:val="18"/>
                <w:lang w:val="en-US"/>
              </w:rPr>
              <w:t>)</w:t>
            </w:r>
          </w:p>
          <w:p w14:paraId="5B6F2574" w14:textId="77777777" w:rsidR="00DE25D5" w:rsidRDefault="00DE25D5" w:rsidP="004E23DA"/>
        </w:tc>
        <w:tc>
          <w:tcPr>
            <w:tcW w:w="4159" w:type="dxa"/>
          </w:tcPr>
          <w:p w14:paraId="51FCC76E" w14:textId="77777777" w:rsidR="00DE25D5" w:rsidRPr="004F277A" w:rsidRDefault="00DE25D5" w:rsidP="004E23DA">
            <w:pPr>
              <w:rPr>
                <w:bCs/>
                <w:color w:val="FF0000"/>
              </w:rPr>
            </w:pPr>
          </w:p>
          <w:p w14:paraId="5FBD4FBF" w14:textId="55730F9A" w:rsidR="00416822" w:rsidRPr="00761FCD" w:rsidRDefault="00761FCD" w:rsidP="004E23DA">
            <w:pPr>
              <w:rPr>
                <w:bCs/>
              </w:rPr>
            </w:pPr>
            <w:r w:rsidRPr="00761FCD">
              <w:rPr>
                <w:bCs/>
              </w:rPr>
              <w:t>22</w:t>
            </w:r>
          </w:p>
          <w:p w14:paraId="697B9D34" w14:textId="3EA7FC22" w:rsidR="004F277A" w:rsidRPr="004F277A" w:rsidRDefault="004F277A" w:rsidP="004E23DA">
            <w:pPr>
              <w:rPr>
                <w:bCs/>
                <w:color w:val="FF0000"/>
              </w:rPr>
            </w:pPr>
            <w:r w:rsidRPr="004F277A">
              <w:rPr>
                <w:bCs/>
                <w:lang w:val="en-US"/>
              </w:rPr>
              <w:t>£</w:t>
            </w:r>
            <w:r w:rsidR="00761FCD">
              <w:rPr>
                <w:bCs/>
                <w:lang w:val="en-US"/>
              </w:rPr>
              <w:t>45,985.59</w:t>
            </w:r>
          </w:p>
        </w:tc>
      </w:tr>
      <w:tr w:rsidR="00DE25D5" w14:paraId="41E5F0B9" w14:textId="77777777" w:rsidTr="00DE25D5">
        <w:trPr>
          <w:trHeight w:val="436"/>
        </w:trPr>
        <w:tc>
          <w:tcPr>
            <w:tcW w:w="5402" w:type="dxa"/>
            <w:shd w:val="clear" w:color="auto" w:fill="auto"/>
          </w:tcPr>
          <w:p w14:paraId="3A5C4C14" w14:textId="77777777" w:rsidR="00DE25D5" w:rsidRPr="004E23DA" w:rsidRDefault="00DE25D5" w:rsidP="004E23DA">
            <w:pPr>
              <w:rPr>
                <w:b/>
              </w:rPr>
            </w:pPr>
            <w:r w:rsidRPr="004E23DA">
              <w:rPr>
                <w:b/>
              </w:rPr>
              <w:t>Totals</w:t>
            </w:r>
          </w:p>
          <w:p w14:paraId="01DF7DE0" w14:textId="77777777" w:rsidR="00DE25D5" w:rsidRPr="004E23DA" w:rsidRDefault="00DE25D5" w:rsidP="004E23DA">
            <w:pPr>
              <w:rPr>
                <w:b/>
              </w:rPr>
            </w:pPr>
          </w:p>
          <w:p w14:paraId="75ECAF59" w14:textId="77777777" w:rsidR="00DE25D5" w:rsidRPr="004E23DA" w:rsidRDefault="00DE25D5" w:rsidP="004E23DA">
            <w:pPr>
              <w:rPr>
                <w:b/>
              </w:rPr>
            </w:pPr>
            <w:r w:rsidRPr="004E23DA">
              <w:rPr>
                <w:b/>
              </w:rPr>
              <w:t>Referrals</w:t>
            </w:r>
          </w:p>
          <w:p w14:paraId="140FD349" w14:textId="77777777" w:rsidR="00DE25D5" w:rsidRPr="004E23DA" w:rsidRDefault="00DE25D5" w:rsidP="004E23DA">
            <w:pPr>
              <w:rPr>
                <w:b/>
              </w:rPr>
            </w:pPr>
            <w:r w:rsidRPr="004E23DA">
              <w:rPr>
                <w:b/>
              </w:rPr>
              <w:t>Positive outcomes</w:t>
            </w:r>
          </w:p>
          <w:p w14:paraId="3E295BEE" w14:textId="77777777" w:rsidR="00DE25D5" w:rsidRPr="004E23DA" w:rsidRDefault="00DE25D5" w:rsidP="004E23DA">
            <w:pPr>
              <w:rPr>
                <w:b/>
              </w:rPr>
            </w:pPr>
            <w:r w:rsidRPr="004E23DA">
              <w:rPr>
                <w:b/>
              </w:rPr>
              <w:t>Fraud Savings</w:t>
            </w:r>
          </w:p>
        </w:tc>
        <w:tc>
          <w:tcPr>
            <w:tcW w:w="4793" w:type="dxa"/>
            <w:shd w:val="clear" w:color="auto" w:fill="auto"/>
          </w:tcPr>
          <w:p w14:paraId="53B88D14" w14:textId="77777777" w:rsidR="00DE25D5" w:rsidRPr="004E23DA" w:rsidRDefault="00DE25D5" w:rsidP="004E23DA">
            <w:pPr>
              <w:rPr>
                <w:b/>
              </w:rPr>
            </w:pPr>
          </w:p>
          <w:p w14:paraId="6A092D60" w14:textId="77777777" w:rsidR="00DE25D5" w:rsidRPr="004E23DA" w:rsidRDefault="00DE25D5" w:rsidP="004E23DA">
            <w:pPr>
              <w:rPr>
                <w:b/>
              </w:rPr>
            </w:pPr>
          </w:p>
          <w:p w14:paraId="7D1EB867" w14:textId="77777777" w:rsidR="00DE25D5" w:rsidRDefault="00DE25D5" w:rsidP="004E23DA">
            <w:pPr>
              <w:rPr>
                <w:b/>
              </w:rPr>
            </w:pPr>
            <w:r>
              <w:rPr>
                <w:b/>
              </w:rPr>
              <w:t>75</w:t>
            </w:r>
          </w:p>
          <w:p w14:paraId="1E954347" w14:textId="77777777" w:rsidR="00DE25D5" w:rsidRDefault="00DE25D5" w:rsidP="004E23DA">
            <w:pPr>
              <w:rPr>
                <w:b/>
              </w:rPr>
            </w:pPr>
            <w:r>
              <w:rPr>
                <w:b/>
              </w:rPr>
              <w:t>404 (inc NFI cases)</w:t>
            </w:r>
          </w:p>
          <w:p w14:paraId="5F42B802" w14:textId="77777777" w:rsidR="00DE25D5" w:rsidRPr="004E23DA" w:rsidRDefault="00DE25D5" w:rsidP="004E23DA">
            <w:pPr>
              <w:rPr>
                <w:b/>
              </w:rPr>
            </w:pPr>
            <w:r>
              <w:rPr>
                <w:b/>
              </w:rPr>
              <w:t>£2,049,159.43</w:t>
            </w:r>
          </w:p>
        </w:tc>
        <w:tc>
          <w:tcPr>
            <w:tcW w:w="4159" w:type="dxa"/>
          </w:tcPr>
          <w:p w14:paraId="1D9A0DEE" w14:textId="77777777" w:rsidR="00DE25D5" w:rsidRPr="00416822" w:rsidRDefault="00DE25D5" w:rsidP="004E23DA">
            <w:pPr>
              <w:rPr>
                <w:b/>
                <w:color w:val="FF0000"/>
              </w:rPr>
            </w:pPr>
          </w:p>
          <w:p w14:paraId="3A1517D6" w14:textId="77777777" w:rsidR="00BF097A" w:rsidRPr="00416822" w:rsidRDefault="00BF097A" w:rsidP="004E23DA">
            <w:pPr>
              <w:rPr>
                <w:b/>
                <w:color w:val="FF0000"/>
              </w:rPr>
            </w:pPr>
          </w:p>
          <w:p w14:paraId="5640454E" w14:textId="77777777" w:rsidR="00BF097A" w:rsidRPr="003F716F" w:rsidRDefault="00BF097A" w:rsidP="004E23DA">
            <w:pPr>
              <w:rPr>
                <w:b/>
              </w:rPr>
            </w:pPr>
            <w:r w:rsidRPr="003F716F">
              <w:rPr>
                <w:b/>
              </w:rPr>
              <w:t>138</w:t>
            </w:r>
          </w:p>
          <w:p w14:paraId="1B0B09CD" w14:textId="4C2E4E72" w:rsidR="003F716F" w:rsidRPr="003F716F" w:rsidRDefault="00761FCD" w:rsidP="004E23DA">
            <w:pPr>
              <w:rPr>
                <w:b/>
              </w:rPr>
            </w:pPr>
            <w:r>
              <w:rPr>
                <w:b/>
              </w:rPr>
              <w:t>34 (inc new NFI cases)</w:t>
            </w:r>
          </w:p>
          <w:p w14:paraId="7AAFB5FF" w14:textId="5780CE29" w:rsidR="00AB098A" w:rsidRPr="00416822" w:rsidRDefault="00AB098A" w:rsidP="004E23DA">
            <w:pPr>
              <w:rPr>
                <w:b/>
                <w:color w:val="FF0000"/>
              </w:rPr>
            </w:pPr>
            <w:r w:rsidRPr="003F716F">
              <w:rPr>
                <w:b/>
              </w:rPr>
              <w:t>£</w:t>
            </w:r>
            <w:r w:rsidR="00761FCD">
              <w:rPr>
                <w:b/>
              </w:rPr>
              <w:t>709,579.38</w:t>
            </w:r>
          </w:p>
        </w:tc>
      </w:tr>
    </w:tbl>
    <w:p w14:paraId="2D50B111" w14:textId="77777777" w:rsidR="00BC4DED" w:rsidRDefault="00BC4DED" w:rsidP="00C0282A">
      <w:pPr>
        <w:rPr>
          <w:b/>
        </w:rPr>
      </w:pPr>
    </w:p>
    <w:p w14:paraId="0BA59413" w14:textId="77777777" w:rsidR="00BC4DED" w:rsidRDefault="00BC4DED" w:rsidP="00C0282A">
      <w:pPr>
        <w:rPr>
          <w:b/>
        </w:rPr>
      </w:pPr>
    </w:p>
    <w:p w14:paraId="6A2E4789" w14:textId="77777777" w:rsidR="00C0282A" w:rsidRPr="0081702B" w:rsidRDefault="00E0020F" w:rsidP="00C0282A">
      <w:pPr>
        <w:rPr>
          <w:b/>
        </w:rPr>
      </w:pPr>
      <w:r>
        <w:rPr>
          <w:b/>
        </w:rPr>
        <w:t>2019-</w:t>
      </w:r>
      <w:r w:rsidR="00C0043F">
        <w:rPr>
          <w:b/>
        </w:rPr>
        <w:t>20</w:t>
      </w:r>
      <w:r w:rsidR="006B4350">
        <w:rPr>
          <w:b/>
        </w:rPr>
        <w:t xml:space="preserve"> Year End</w:t>
      </w:r>
      <w:r w:rsidR="00C0282A">
        <w:rPr>
          <w:b/>
        </w:rPr>
        <w:t xml:space="preserve"> </w:t>
      </w:r>
      <w:r w:rsidR="00C0043F">
        <w:rPr>
          <w:b/>
        </w:rPr>
        <w:t xml:space="preserve">Financial </w:t>
      </w:r>
      <w:r w:rsidR="00C0282A" w:rsidRPr="0081702B">
        <w:rPr>
          <w:b/>
        </w:rPr>
        <w:t>Summary</w:t>
      </w:r>
    </w:p>
    <w:p w14:paraId="0C7B3A2D" w14:textId="77777777" w:rsidR="00C0282A" w:rsidRDefault="00C0282A" w:rsidP="00C0282A"/>
    <w:p w14:paraId="6E7376EF" w14:textId="39DDB307" w:rsidR="00C0282A" w:rsidRDefault="00C0282A" w:rsidP="00C0282A">
      <w:r>
        <w:t>The l</w:t>
      </w:r>
      <w:r w:rsidRPr="0081702B">
        <w:t xml:space="preserve">evel of fraud and corruption identified </w:t>
      </w:r>
      <w:r>
        <w:t>impacting the au</w:t>
      </w:r>
      <w:r w:rsidR="00857C23">
        <w:t>thority for 2019-20</w:t>
      </w:r>
      <w:r>
        <w:t xml:space="preserve"> </w:t>
      </w:r>
      <w:r w:rsidR="006B4350">
        <w:t xml:space="preserve">amounts to </w:t>
      </w:r>
      <w:r w:rsidR="002C38E1">
        <w:t xml:space="preserve">in excess of </w:t>
      </w:r>
      <w:r w:rsidR="003F716F">
        <w:t>£2.7 million</w:t>
      </w:r>
      <w:r w:rsidR="00857C23">
        <w:t xml:space="preserve"> </w:t>
      </w:r>
      <w:r w:rsidRPr="0081702B">
        <w:t>which represents an approximate return</w:t>
      </w:r>
      <w:r>
        <w:t xml:space="preserve"> on investment for the team</w:t>
      </w:r>
      <w:r w:rsidR="00857C23">
        <w:t xml:space="preserve">’s running costs of just over </w:t>
      </w:r>
      <w:r w:rsidR="003F716F">
        <w:t>1</w:t>
      </w:r>
      <w:r w:rsidR="002C38E1">
        <w:t>0</w:t>
      </w:r>
      <w:r w:rsidR="003F716F">
        <w:t>:1</w:t>
      </w:r>
    </w:p>
    <w:p w14:paraId="01699FD9" w14:textId="77777777" w:rsidR="00AC1DE1" w:rsidRDefault="00AC1DE1" w:rsidP="002C54A1">
      <w:pPr>
        <w:rPr>
          <w:b/>
        </w:rPr>
      </w:pPr>
    </w:p>
    <w:sectPr w:rsidR="00AC1DE1" w:rsidSect="007816FE">
      <w:headerReference w:type="default" r:id="rId12"/>
      <w:pgSz w:w="15840" w:h="12240"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2B83" w14:textId="77777777" w:rsidR="005E4293" w:rsidRDefault="005E4293">
      <w:r>
        <w:separator/>
      </w:r>
    </w:p>
  </w:endnote>
  <w:endnote w:type="continuationSeparator" w:id="0">
    <w:p w14:paraId="193A7E3B" w14:textId="77777777" w:rsidR="005E4293" w:rsidRDefault="005E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A3E6" w14:textId="77777777" w:rsidR="005E4293" w:rsidRDefault="005E4293">
      <w:r>
        <w:separator/>
      </w:r>
    </w:p>
  </w:footnote>
  <w:footnote w:type="continuationSeparator" w:id="0">
    <w:p w14:paraId="3A867217" w14:textId="77777777" w:rsidR="005E4293" w:rsidRDefault="005E4293">
      <w:r>
        <w:continuationSeparator/>
      </w:r>
    </w:p>
  </w:footnote>
  <w:footnote w:id="1">
    <w:p w14:paraId="74CC1B63" w14:textId="77777777" w:rsidR="005E4293" w:rsidRDefault="005E4293" w:rsidP="0069329D">
      <w:pPr>
        <w:pStyle w:val="FootnoteText"/>
      </w:pPr>
      <w:r>
        <w:rPr>
          <w:rStyle w:val="FootnoteReference"/>
        </w:rPr>
        <w:footnoteRef/>
      </w:r>
      <w:r>
        <w:t xml:space="preserve"> Notional cost of removing 1 case from the waiting list following a match is £3240 as per Cabinet Office guidance</w:t>
      </w:r>
    </w:p>
  </w:footnote>
  <w:footnote w:id="2">
    <w:p w14:paraId="5543913C" w14:textId="77777777" w:rsidR="005E4293" w:rsidRDefault="005E4293" w:rsidP="0069329D">
      <w:pPr>
        <w:pStyle w:val="FootnoteText"/>
      </w:pPr>
      <w:r>
        <w:rPr>
          <w:rStyle w:val="FootnoteReference"/>
        </w:rPr>
        <w:footnoteRef/>
      </w:r>
      <w:r>
        <w:t xml:space="preserve"> Notional cost of recovering a blue badge out of circulation registered to a deceased individual is £575 as per Cabinet Office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0D9D" w14:textId="396AE83B" w:rsidR="005E4293" w:rsidRDefault="005E4293">
    <w:pPr>
      <w:pStyle w:val="Header"/>
    </w:pPr>
    <w:r>
      <w:rPr>
        <w:noProof/>
        <w:lang w:val="en-US"/>
      </w:rPr>
      <mc:AlternateContent>
        <mc:Choice Requires="wps">
          <w:drawing>
            <wp:anchor distT="0" distB="0" distL="114300" distR="114300" simplePos="0" relativeHeight="251657728" behindDoc="0" locked="0" layoutInCell="1" allowOverlap="1" wp14:anchorId="42D4B261" wp14:editId="1EA19F59">
              <wp:simplePos x="0" y="0"/>
              <wp:positionH relativeFrom="column">
                <wp:posOffset>186055</wp:posOffset>
              </wp:positionH>
              <wp:positionV relativeFrom="paragraph">
                <wp:posOffset>4209415</wp:posOffset>
              </wp:positionV>
              <wp:extent cx="6177280" cy="130683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15800">
                        <a:off x="0" y="0"/>
                        <a:ext cx="6177280" cy="1306830"/>
                      </a:xfrm>
                      <a:prstGeom prst="rect">
                        <a:avLst/>
                      </a:prstGeom>
                      <a:extLst>
                        <a:ext uri="{AF507438-7753-43E0-B8FC-AC1667EBCBE1}">
                          <a14:hiddenEffects xmlns:a14="http://schemas.microsoft.com/office/drawing/2010/main">
                            <a:effectLst/>
                          </a14:hiddenEffects>
                        </a:ext>
                      </a:extLst>
                    </wps:spPr>
                    <wps:txbx>
                      <w:txbxContent>
                        <w:p w14:paraId="3E4546F4" w14:textId="77777777" w:rsidR="005E4293" w:rsidRDefault="005E4293" w:rsidP="002F29E6">
                          <w:pPr>
                            <w:jc w:val="cente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4B261" id="_x0000_t202" coordsize="21600,21600" o:spt="202" path="m,l,21600r21600,l21600,xe">
              <v:stroke joinstyle="miter"/>
              <v:path gradientshapeok="t" o:connecttype="rect"/>
            </v:shapetype>
            <v:shape id="WordArt 1" o:spid="_x0000_s1026" type="#_x0000_t202" style="position:absolute;margin-left:14.65pt;margin-top:331.45pt;width:486.4pt;height:102.9pt;rotation:-242024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" filled="f" stroked="f">
              <o:lock v:ext="edit" shapetype="t"/>
              <v:textbox style="mso-fit-shape-to-text:t">
                <w:txbxContent>
                  <w:p w14:paraId="3E4546F4" w14:textId="77777777" w:rsidR="002F29E6" w:rsidRDefault="002F29E6" w:rsidP="002F29E6">
                    <w:pPr>
                      <w:jc w:val="cente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85B"/>
    <w:multiLevelType w:val="hybridMultilevel"/>
    <w:tmpl w:val="2ACC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13D3"/>
    <w:multiLevelType w:val="hybridMultilevel"/>
    <w:tmpl w:val="627C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DBD"/>
    <w:multiLevelType w:val="hybridMultilevel"/>
    <w:tmpl w:val="25EE8BAE"/>
    <w:lvl w:ilvl="0" w:tplc="1B0290FE">
      <w:start w:val="1"/>
      <w:numFmt w:val="bullet"/>
      <w:lvlText w:val="●"/>
      <w:lvlJc w:val="left"/>
      <w:pPr>
        <w:tabs>
          <w:tab w:val="num" w:pos="720"/>
        </w:tabs>
        <w:ind w:left="720" w:hanging="360"/>
      </w:pPr>
      <w:rPr>
        <w:rFonts w:ascii="Arial" w:hAnsi="Arial" w:hint="default"/>
      </w:rPr>
    </w:lvl>
    <w:lvl w:ilvl="1" w:tplc="DBEA1958" w:tentative="1">
      <w:start w:val="1"/>
      <w:numFmt w:val="bullet"/>
      <w:lvlText w:val="●"/>
      <w:lvlJc w:val="left"/>
      <w:pPr>
        <w:tabs>
          <w:tab w:val="num" w:pos="1440"/>
        </w:tabs>
        <w:ind w:left="1440" w:hanging="360"/>
      </w:pPr>
      <w:rPr>
        <w:rFonts w:ascii="Arial" w:hAnsi="Arial" w:hint="default"/>
      </w:rPr>
    </w:lvl>
    <w:lvl w:ilvl="2" w:tplc="85E4E7EE" w:tentative="1">
      <w:start w:val="1"/>
      <w:numFmt w:val="bullet"/>
      <w:lvlText w:val="●"/>
      <w:lvlJc w:val="left"/>
      <w:pPr>
        <w:tabs>
          <w:tab w:val="num" w:pos="2160"/>
        </w:tabs>
        <w:ind w:left="2160" w:hanging="360"/>
      </w:pPr>
      <w:rPr>
        <w:rFonts w:ascii="Arial" w:hAnsi="Arial" w:hint="default"/>
      </w:rPr>
    </w:lvl>
    <w:lvl w:ilvl="3" w:tplc="49B8A00C" w:tentative="1">
      <w:start w:val="1"/>
      <w:numFmt w:val="bullet"/>
      <w:lvlText w:val="●"/>
      <w:lvlJc w:val="left"/>
      <w:pPr>
        <w:tabs>
          <w:tab w:val="num" w:pos="2880"/>
        </w:tabs>
        <w:ind w:left="2880" w:hanging="360"/>
      </w:pPr>
      <w:rPr>
        <w:rFonts w:ascii="Arial" w:hAnsi="Arial" w:hint="default"/>
      </w:rPr>
    </w:lvl>
    <w:lvl w:ilvl="4" w:tplc="670800EE" w:tentative="1">
      <w:start w:val="1"/>
      <w:numFmt w:val="bullet"/>
      <w:lvlText w:val="●"/>
      <w:lvlJc w:val="left"/>
      <w:pPr>
        <w:tabs>
          <w:tab w:val="num" w:pos="3600"/>
        </w:tabs>
        <w:ind w:left="3600" w:hanging="360"/>
      </w:pPr>
      <w:rPr>
        <w:rFonts w:ascii="Arial" w:hAnsi="Arial" w:hint="default"/>
      </w:rPr>
    </w:lvl>
    <w:lvl w:ilvl="5" w:tplc="ED5213D8" w:tentative="1">
      <w:start w:val="1"/>
      <w:numFmt w:val="bullet"/>
      <w:lvlText w:val="●"/>
      <w:lvlJc w:val="left"/>
      <w:pPr>
        <w:tabs>
          <w:tab w:val="num" w:pos="4320"/>
        </w:tabs>
        <w:ind w:left="4320" w:hanging="360"/>
      </w:pPr>
      <w:rPr>
        <w:rFonts w:ascii="Arial" w:hAnsi="Arial" w:hint="default"/>
      </w:rPr>
    </w:lvl>
    <w:lvl w:ilvl="6" w:tplc="AF1677AC" w:tentative="1">
      <w:start w:val="1"/>
      <w:numFmt w:val="bullet"/>
      <w:lvlText w:val="●"/>
      <w:lvlJc w:val="left"/>
      <w:pPr>
        <w:tabs>
          <w:tab w:val="num" w:pos="5040"/>
        </w:tabs>
        <w:ind w:left="5040" w:hanging="360"/>
      </w:pPr>
      <w:rPr>
        <w:rFonts w:ascii="Arial" w:hAnsi="Arial" w:hint="default"/>
      </w:rPr>
    </w:lvl>
    <w:lvl w:ilvl="7" w:tplc="7F182CEA" w:tentative="1">
      <w:start w:val="1"/>
      <w:numFmt w:val="bullet"/>
      <w:lvlText w:val="●"/>
      <w:lvlJc w:val="left"/>
      <w:pPr>
        <w:tabs>
          <w:tab w:val="num" w:pos="5760"/>
        </w:tabs>
        <w:ind w:left="5760" w:hanging="360"/>
      </w:pPr>
      <w:rPr>
        <w:rFonts w:ascii="Arial" w:hAnsi="Arial" w:hint="default"/>
      </w:rPr>
    </w:lvl>
    <w:lvl w:ilvl="8" w:tplc="7C8458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4527FB"/>
    <w:multiLevelType w:val="hybridMultilevel"/>
    <w:tmpl w:val="E8C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319C8"/>
    <w:multiLevelType w:val="hybridMultilevel"/>
    <w:tmpl w:val="8EBC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132B"/>
    <w:multiLevelType w:val="hybridMultilevel"/>
    <w:tmpl w:val="F43E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C5449"/>
    <w:multiLevelType w:val="hybridMultilevel"/>
    <w:tmpl w:val="5FC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47587"/>
    <w:multiLevelType w:val="hybridMultilevel"/>
    <w:tmpl w:val="E0408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95225"/>
    <w:multiLevelType w:val="hybridMultilevel"/>
    <w:tmpl w:val="2B12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86A64"/>
    <w:multiLevelType w:val="hybridMultilevel"/>
    <w:tmpl w:val="1794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95C14"/>
    <w:multiLevelType w:val="hybridMultilevel"/>
    <w:tmpl w:val="6226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3511B"/>
    <w:multiLevelType w:val="hybridMultilevel"/>
    <w:tmpl w:val="7334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B51EA"/>
    <w:multiLevelType w:val="hybridMultilevel"/>
    <w:tmpl w:val="64DE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B7957"/>
    <w:multiLevelType w:val="hybridMultilevel"/>
    <w:tmpl w:val="995837F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48E07B51"/>
    <w:multiLevelType w:val="hybridMultilevel"/>
    <w:tmpl w:val="459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B5EEE"/>
    <w:multiLevelType w:val="hybridMultilevel"/>
    <w:tmpl w:val="2BF4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C3ECA"/>
    <w:multiLevelType w:val="hybridMultilevel"/>
    <w:tmpl w:val="0EB6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962D1"/>
    <w:multiLevelType w:val="hybridMultilevel"/>
    <w:tmpl w:val="6C603C22"/>
    <w:lvl w:ilvl="0" w:tplc="75F478A2">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750A0"/>
    <w:multiLevelType w:val="hybridMultilevel"/>
    <w:tmpl w:val="AAEA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56C82"/>
    <w:multiLevelType w:val="hybridMultilevel"/>
    <w:tmpl w:val="F8F8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E09C6"/>
    <w:multiLevelType w:val="hybridMultilevel"/>
    <w:tmpl w:val="0CEE7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657A27"/>
    <w:multiLevelType w:val="hybridMultilevel"/>
    <w:tmpl w:val="8370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42813"/>
    <w:multiLevelType w:val="hybridMultilevel"/>
    <w:tmpl w:val="21E49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D1489A"/>
    <w:multiLevelType w:val="hybridMultilevel"/>
    <w:tmpl w:val="6A0A9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DF4CD0"/>
    <w:multiLevelType w:val="hybridMultilevel"/>
    <w:tmpl w:val="D83E5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F7301D"/>
    <w:multiLevelType w:val="hybridMultilevel"/>
    <w:tmpl w:val="A414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C19FC"/>
    <w:multiLevelType w:val="hybridMultilevel"/>
    <w:tmpl w:val="10B0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840F6"/>
    <w:multiLevelType w:val="hybridMultilevel"/>
    <w:tmpl w:val="E2E8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1"/>
  </w:num>
  <w:num w:numId="4">
    <w:abstractNumId w:val="9"/>
  </w:num>
  <w:num w:numId="5">
    <w:abstractNumId w:val="8"/>
  </w:num>
  <w:num w:numId="6">
    <w:abstractNumId w:val="25"/>
  </w:num>
  <w:num w:numId="7">
    <w:abstractNumId w:val="12"/>
  </w:num>
  <w:num w:numId="8">
    <w:abstractNumId w:val="27"/>
  </w:num>
  <w:num w:numId="9">
    <w:abstractNumId w:val="16"/>
  </w:num>
  <w:num w:numId="10">
    <w:abstractNumId w:val="26"/>
  </w:num>
  <w:num w:numId="11">
    <w:abstractNumId w:val="4"/>
  </w:num>
  <w:num w:numId="12">
    <w:abstractNumId w:val="2"/>
  </w:num>
  <w:num w:numId="13">
    <w:abstractNumId w:val="22"/>
  </w:num>
  <w:num w:numId="14">
    <w:abstractNumId w:val="18"/>
  </w:num>
  <w:num w:numId="15">
    <w:abstractNumId w:val="3"/>
  </w:num>
  <w:num w:numId="16">
    <w:abstractNumId w:val="0"/>
  </w:num>
  <w:num w:numId="17">
    <w:abstractNumId w:val="14"/>
  </w:num>
  <w:num w:numId="18">
    <w:abstractNumId w:val="13"/>
  </w:num>
  <w:num w:numId="19">
    <w:abstractNumId w:val="10"/>
  </w:num>
  <w:num w:numId="20">
    <w:abstractNumId w:val="6"/>
  </w:num>
  <w:num w:numId="21">
    <w:abstractNumId w:val="17"/>
  </w:num>
  <w:num w:numId="22">
    <w:abstractNumId w:val="19"/>
  </w:num>
  <w:num w:numId="23">
    <w:abstractNumId w:val="23"/>
  </w:num>
  <w:num w:numId="24">
    <w:abstractNumId w:val="24"/>
  </w:num>
  <w:num w:numId="25">
    <w:abstractNumId w:val="5"/>
  </w:num>
  <w:num w:numId="26">
    <w:abstractNumId w:val="15"/>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4D"/>
    <w:rsid w:val="00000F9D"/>
    <w:rsid w:val="000024FE"/>
    <w:rsid w:val="0000763C"/>
    <w:rsid w:val="00010B51"/>
    <w:rsid w:val="0001158A"/>
    <w:rsid w:val="00013023"/>
    <w:rsid w:val="00013AE8"/>
    <w:rsid w:val="00016305"/>
    <w:rsid w:val="00017F41"/>
    <w:rsid w:val="00020D99"/>
    <w:rsid w:val="0002481D"/>
    <w:rsid w:val="0002495F"/>
    <w:rsid w:val="00024C15"/>
    <w:rsid w:val="00024DBE"/>
    <w:rsid w:val="00030B70"/>
    <w:rsid w:val="000328BD"/>
    <w:rsid w:val="0004203A"/>
    <w:rsid w:val="0004289B"/>
    <w:rsid w:val="00042F1F"/>
    <w:rsid w:val="000434F0"/>
    <w:rsid w:val="000509B0"/>
    <w:rsid w:val="00052E3C"/>
    <w:rsid w:val="000542B9"/>
    <w:rsid w:val="00056D11"/>
    <w:rsid w:val="00064D43"/>
    <w:rsid w:val="00067E03"/>
    <w:rsid w:val="000723C6"/>
    <w:rsid w:val="00076CB7"/>
    <w:rsid w:val="00082737"/>
    <w:rsid w:val="000829D1"/>
    <w:rsid w:val="0008552E"/>
    <w:rsid w:val="00092773"/>
    <w:rsid w:val="00096665"/>
    <w:rsid w:val="000A1CD2"/>
    <w:rsid w:val="000A2603"/>
    <w:rsid w:val="000A31C1"/>
    <w:rsid w:val="000A4BFA"/>
    <w:rsid w:val="000A5264"/>
    <w:rsid w:val="000A7318"/>
    <w:rsid w:val="000A7D21"/>
    <w:rsid w:val="000B0A4A"/>
    <w:rsid w:val="000B1A87"/>
    <w:rsid w:val="000B3DFF"/>
    <w:rsid w:val="000B4BAE"/>
    <w:rsid w:val="000B51E3"/>
    <w:rsid w:val="000B7EB0"/>
    <w:rsid w:val="000C23B2"/>
    <w:rsid w:val="000C4109"/>
    <w:rsid w:val="000C458B"/>
    <w:rsid w:val="000C5A67"/>
    <w:rsid w:val="000D2518"/>
    <w:rsid w:val="000D2C36"/>
    <w:rsid w:val="000E00F7"/>
    <w:rsid w:val="000E1C71"/>
    <w:rsid w:val="000E22E9"/>
    <w:rsid w:val="000E3A61"/>
    <w:rsid w:val="000E71C2"/>
    <w:rsid w:val="000E7AF0"/>
    <w:rsid w:val="000F01F3"/>
    <w:rsid w:val="000F145E"/>
    <w:rsid w:val="000F2DD3"/>
    <w:rsid w:val="000F731A"/>
    <w:rsid w:val="00100E3B"/>
    <w:rsid w:val="00101B6C"/>
    <w:rsid w:val="00110C22"/>
    <w:rsid w:val="00111069"/>
    <w:rsid w:val="00115D92"/>
    <w:rsid w:val="00116821"/>
    <w:rsid w:val="00120E4D"/>
    <w:rsid w:val="0012186B"/>
    <w:rsid w:val="00126855"/>
    <w:rsid w:val="00126878"/>
    <w:rsid w:val="0012783D"/>
    <w:rsid w:val="0013361D"/>
    <w:rsid w:val="00137CBD"/>
    <w:rsid w:val="0014148F"/>
    <w:rsid w:val="00142DBE"/>
    <w:rsid w:val="00145FD8"/>
    <w:rsid w:val="00146C51"/>
    <w:rsid w:val="00147B79"/>
    <w:rsid w:val="00147C71"/>
    <w:rsid w:val="0015246E"/>
    <w:rsid w:val="00153298"/>
    <w:rsid w:val="00157A90"/>
    <w:rsid w:val="00165B1A"/>
    <w:rsid w:val="00165FB8"/>
    <w:rsid w:val="00167AC9"/>
    <w:rsid w:val="00172A3F"/>
    <w:rsid w:val="0017605D"/>
    <w:rsid w:val="0019007C"/>
    <w:rsid w:val="001921E5"/>
    <w:rsid w:val="001A1170"/>
    <w:rsid w:val="001A1505"/>
    <w:rsid w:val="001A16D5"/>
    <w:rsid w:val="001A1F50"/>
    <w:rsid w:val="001B3833"/>
    <w:rsid w:val="001B3926"/>
    <w:rsid w:val="001B517F"/>
    <w:rsid w:val="001B52C4"/>
    <w:rsid w:val="001B5862"/>
    <w:rsid w:val="001B696A"/>
    <w:rsid w:val="001C1550"/>
    <w:rsid w:val="001C175A"/>
    <w:rsid w:val="001C4DCA"/>
    <w:rsid w:val="001C6010"/>
    <w:rsid w:val="001D030A"/>
    <w:rsid w:val="001E1BDF"/>
    <w:rsid w:val="001E6A26"/>
    <w:rsid w:val="001E7C5E"/>
    <w:rsid w:val="001F2AF9"/>
    <w:rsid w:val="002071A8"/>
    <w:rsid w:val="002079AC"/>
    <w:rsid w:val="0021291B"/>
    <w:rsid w:val="00213A11"/>
    <w:rsid w:val="00213AAC"/>
    <w:rsid w:val="00214C0D"/>
    <w:rsid w:val="00215D55"/>
    <w:rsid w:val="002255C6"/>
    <w:rsid w:val="00233B06"/>
    <w:rsid w:val="0023441F"/>
    <w:rsid w:val="00234889"/>
    <w:rsid w:val="0024520A"/>
    <w:rsid w:val="00252E5F"/>
    <w:rsid w:val="00255260"/>
    <w:rsid w:val="002572C9"/>
    <w:rsid w:val="00260C9D"/>
    <w:rsid w:val="00262322"/>
    <w:rsid w:val="00276BC0"/>
    <w:rsid w:val="00277A55"/>
    <w:rsid w:val="00280654"/>
    <w:rsid w:val="00285757"/>
    <w:rsid w:val="002911A5"/>
    <w:rsid w:val="002913D2"/>
    <w:rsid w:val="00292DD2"/>
    <w:rsid w:val="0029417B"/>
    <w:rsid w:val="00294956"/>
    <w:rsid w:val="00294CF9"/>
    <w:rsid w:val="00296E1C"/>
    <w:rsid w:val="002A4EE6"/>
    <w:rsid w:val="002C01F6"/>
    <w:rsid w:val="002C26DD"/>
    <w:rsid w:val="002C38E1"/>
    <w:rsid w:val="002C54A1"/>
    <w:rsid w:val="002D0165"/>
    <w:rsid w:val="002D2FF8"/>
    <w:rsid w:val="002E07B9"/>
    <w:rsid w:val="002E26AD"/>
    <w:rsid w:val="002E3B79"/>
    <w:rsid w:val="002F0B87"/>
    <w:rsid w:val="002F16E9"/>
    <w:rsid w:val="002F29E6"/>
    <w:rsid w:val="002F6B0A"/>
    <w:rsid w:val="002F7167"/>
    <w:rsid w:val="002F783A"/>
    <w:rsid w:val="00301A0D"/>
    <w:rsid w:val="00301B2C"/>
    <w:rsid w:val="00302C2B"/>
    <w:rsid w:val="0030311A"/>
    <w:rsid w:val="00303FF5"/>
    <w:rsid w:val="0030784E"/>
    <w:rsid w:val="00311013"/>
    <w:rsid w:val="00313433"/>
    <w:rsid w:val="0031481B"/>
    <w:rsid w:val="00315772"/>
    <w:rsid w:val="0033298F"/>
    <w:rsid w:val="00334E1E"/>
    <w:rsid w:val="00336634"/>
    <w:rsid w:val="00336D6A"/>
    <w:rsid w:val="00342C71"/>
    <w:rsid w:val="003432CE"/>
    <w:rsid w:val="0034711C"/>
    <w:rsid w:val="0035136B"/>
    <w:rsid w:val="003519CF"/>
    <w:rsid w:val="00352718"/>
    <w:rsid w:val="00355074"/>
    <w:rsid w:val="00355BBE"/>
    <w:rsid w:val="00356CC8"/>
    <w:rsid w:val="00356D1F"/>
    <w:rsid w:val="00362592"/>
    <w:rsid w:val="0036329D"/>
    <w:rsid w:val="00363668"/>
    <w:rsid w:val="00363AF5"/>
    <w:rsid w:val="00364098"/>
    <w:rsid w:val="003738D4"/>
    <w:rsid w:val="00375499"/>
    <w:rsid w:val="00377E71"/>
    <w:rsid w:val="00382540"/>
    <w:rsid w:val="0038298B"/>
    <w:rsid w:val="00386B67"/>
    <w:rsid w:val="00393DF4"/>
    <w:rsid w:val="00395FFF"/>
    <w:rsid w:val="0039723C"/>
    <w:rsid w:val="003B1A72"/>
    <w:rsid w:val="003B2A35"/>
    <w:rsid w:val="003B3C46"/>
    <w:rsid w:val="003B614D"/>
    <w:rsid w:val="003B66BD"/>
    <w:rsid w:val="003C4502"/>
    <w:rsid w:val="003C572F"/>
    <w:rsid w:val="003C6157"/>
    <w:rsid w:val="003D2B99"/>
    <w:rsid w:val="003D2C88"/>
    <w:rsid w:val="003D7965"/>
    <w:rsid w:val="003E3F6F"/>
    <w:rsid w:val="003E537F"/>
    <w:rsid w:val="003E5EAD"/>
    <w:rsid w:val="003F0667"/>
    <w:rsid w:val="003F26C6"/>
    <w:rsid w:val="003F29F7"/>
    <w:rsid w:val="003F716F"/>
    <w:rsid w:val="0040514D"/>
    <w:rsid w:val="004052E3"/>
    <w:rsid w:val="00407BD2"/>
    <w:rsid w:val="00411451"/>
    <w:rsid w:val="00414555"/>
    <w:rsid w:val="00416822"/>
    <w:rsid w:val="00420A3F"/>
    <w:rsid w:val="004218E8"/>
    <w:rsid w:val="00423A17"/>
    <w:rsid w:val="004251DA"/>
    <w:rsid w:val="00426BB5"/>
    <w:rsid w:val="00433B05"/>
    <w:rsid w:val="00433E32"/>
    <w:rsid w:val="00435CBB"/>
    <w:rsid w:val="00437BEA"/>
    <w:rsid w:val="00442392"/>
    <w:rsid w:val="00445F45"/>
    <w:rsid w:val="00450E77"/>
    <w:rsid w:val="00451955"/>
    <w:rsid w:val="004547BA"/>
    <w:rsid w:val="00463DA9"/>
    <w:rsid w:val="0046633A"/>
    <w:rsid w:val="00473BCD"/>
    <w:rsid w:val="00475A02"/>
    <w:rsid w:val="004767A8"/>
    <w:rsid w:val="00481160"/>
    <w:rsid w:val="00481CBB"/>
    <w:rsid w:val="004820DE"/>
    <w:rsid w:val="004838C9"/>
    <w:rsid w:val="004847B8"/>
    <w:rsid w:val="00485B33"/>
    <w:rsid w:val="00492463"/>
    <w:rsid w:val="004952C3"/>
    <w:rsid w:val="004958B0"/>
    <w:rsid w:val="004A2059"/>
    <w:rsid w:val="004A581D"/>
    <w:rsid w:val="004A6FA4"/>
    <w:rsid w:val="004B4371"/>
    <w:rsid w:val="004C2456"/>
    <w:rsid w:val="004C3B83"/>
    <w:rsid w:val="004C6C92"/>
    <w:rsid w:val="004C7241"/>
    <w:rsid w:val="004D01A2"/>
    <w:rsid w:val="004D201A"/>
    <w:rsid w:val="004E23DA"/>
    <w:rsid w:val="004E2BF0"/>
    <w:rsid w:val="004E368B"/>
    <w:rsid w:val="004F021B"/>
    <w:rsid w:val="004F0B94"/>
    <w:rsid w:val="004F1B1F"/>
    <w:rsid w:val="004F277A"/>
    <w:rsid w:val="004F5F2F"/>
    <w:rsid w:val="004F66D7"/>
    <w:rsid w:val="004F749A"/>
    <w:rsid w:val="00501268"/>
    <w:rsid w:val="005050D7"/>
    <w:rsid w:val="00516D51"/>
    <w:rsid w:val="0052238F"/>
    <w:rsid w:val="005242AE"/>
    <w:rsid w:val="005244B6"/>
    <w:rsid w:val="00524DAB"/>
    <w:rsid w:val="005269EB"/>
    <w:rsid w:val="0053046A"/>
    <w:rsid w:val="00532C1A"/>
    <w:rsid w:val="00540EF7"/>
    <w:rsid w:val="005503B3"/>
    <w:rsid w:val="00554FB3"/>
    <w:rsid w:val="005610AE"/>
    <w:rsid w:val="005758A9"/>
    <w:rsid w:val="00577C25"/>
    <w:rsid w:val="0058675C"/>
    <w:rsid w:val="00594AA7"/>
    <w:rsid w:val="005968E1"/>
    <w:rsid w:val="0059714C"/>
    <w:rsid w:val="005A6791"/>
    <w:rsid w:val="005B3FF8"/>
    <w:rsid w:val="005B5FDB"/>
    <w:rsid w:val="005B6F6E"/>
    <w:rsid w:val="005C055C"/>
    <w:rsid w:val="005C1670"/>
    <w:rsid w:val="005C3FD9"/>
    <w:rsid w:val="005C5976"/>
    <w:rsid w:val="005C5B07"/>
    <w:rsid w:val="005C5F8E"/>
    <w:rsid w:val="005C7DB5"/>
    <w:rsid w:val="005D0759"/>
    <w:rsid w:val="005D1054"/>
    <w:rsid w:val="005D2393"/>
    <w:rsid w:val="005D3873"/>
    <w:rsid w:val="005E2505"/>
    <w:rsid w:val="005E4293"/>
    <w:rsid w:val="005F5F67"/>
    <w:rsid w:val="005F7FEC"/>
    <w:rsid w:val="0060689F"/>
    <w:rsid w:val="00612241"/>
    <w:rsid w:val="006125D3"/>
    <w:rsid w:val="00613B74"/>
    <w:rsid w:val="00614CF5"/>
    <w:rsid w:val="00615CB0"/>
    <w:rsid w:val="00616125"/>
    <w:rsid w:val="006174DD"/>
    <w:rsid w:val="006216F4"/>
    <w:rsid w:val="0062511A"/>
    <w:rsid w:val="0062604C"/>
    <w:rsid w:val="006329E1"/>
    <w:rsid w:val="00632B74"/>
    <w:rsid w:val="00641F68"/>
    <w:rsid w:val="00644A13"/>
    <w:rsid w:val="00646321"/>
    <w:rsid w:val="00646827"/>
    <w:rsid w:val="00650C0D"/>
    <w:rsid w:val="0065612C"/>
    <w:rsid w:val="006570B2"/>
    <w:rsid w:val="0066202C"/>
    <w:rsid w:val="00666AA3"/>
    <w:rsid w:val="00667D38"/>
    <w:rsid w:val="006727F5"/>
    <w:rsid w:val="006747AE"/>
    <w:rsid w:val="00677A41"/>
    <w:rsid w:val="00680886"/>
    <w:rsid w:val="0068221A"/>
    <w:rsid w:val="006832E0"/>
    <w:rsid w:val="0068423F"/>
    <w:rsid w:val="0069329D"/>
    <w:rsid w:val="0069429C"/>
    <w:rsid w:val="006A1295"/>
    <w:rsid w:val="006A60BF"/>
    <w:rsid w:val="006B4350"/>
    <w:rsid w:val="006C14D4"/>
    <w:rsid w:val="006C2B11"/>
    <w:rsid w:val="006C349F"/>
    <w:rsid w:val="006C3C4A"/>
    <w:rsid w:val="006C564B"/>
    <w:rsid w:val="006C78B0"/>
    <w:rsid w:val="006D07E9"/>
    <w:rsid w:val="006D1734"/>
    <w:rsid w:val="006D26DF"/>
    <w:rsid w:val="006E5133"/>
    <w:rsid w:val="006F1017"/>
    <w:rsid w:val="006F1BBA"/>
    <w:rsid w:val="006F2223"/>
    <w:rsid w:val="00711DB1"/>
    <w:rsid w:val="00724B1A"/>
    <w:rsid w:val="007320CB"/>
    <w:rsid w:val="007324C0"/>
    <w:rsid w:val="00736115"/>
    <w:rsid w:val="00742952"/>
    <w:rsid w:val="007450F1"/>
    <w:rsid w:val="00745AE7"/>
    <w:rsid w:val="0074787D"/>
    <w:rsid w:val="007535FF"/>
    <w:rsid w:val="00754F28"/>
    <w:rsid w:val="00760663"/>
    <w:rsid w:val="007617D4"/>
    <w:rsid w:val="00761FCD"/>
    <w:rsid w:val="0076288E"/>
    <w:rsid w:val="00764FC8"/>
    <w:rsid w:val="00770EF5"/>
    <w:rsid w:val="00776044"/>
    <w:rsid w:val="007816FE"/>
    <w:rsid w:val="00783526"/>
    <w:rsid w:val="00786DB3"/>
    <w:rsid w:val="007877A0"/>
    <w:rsid w:val="00791855"/>
    <w:rsid w:val="007927F2"/>
    <w:rsid w:val="00793A5F"/>
    <w:rsid w:val="00796045"/>
    <w:rsid w:val="00796AA5"/>
    <w:rsid w:val="007A0F1B"/>
    <w:rsid w:val="007A1901"/>
    <w:rsid w:val="007A1912"/>
    <w:rsid w:val="007A29A8"/>
    <w:rsid w:val="007A2D14"/>
    <w:rsid w:val="007A74C2"/>
    <w:rsid w:val="007A75AD"/>
    <w:rsid w:val="007B0E79"/>
    <w:rsid w:val="007B4092"/>
    <w:rsid w:val="007B72E1"/>
    <w:rsid w:val="007B7A73"/>
    <w:rsid w:val="007B7BAC"/>
    <w:rsid w:val="007B7E9B"/>
    <w:rsid w:val="007C344D"/>
    <w:rsid w:val="007C3BBF"/>
    <w:rsid w:val="007C4804"/>
    <w:rsid w:val="007C4C5A"/>
    <w:rsid w:val="007C6042"/>
    <w:rsid w:val="007C6BAA"/>
    <w:rsid w:val="007C73F3"/>
    <w:rsid w:val="007C7FC5"/>
    <w:rsid w:val="007D2492"/>
    <w:rsid w:val="007D4462"/>
    <w:rsid w:val="007D45D7"/>
    <w:rsid w:val="007E0C7D"/>
    <w:rsid w:val="007E2FAC"/>
    <w:rsid w:val="007E4C8A"/>
    <w:rsid w:val="007F070D"/>
    <w:rsid w:val="007F4CC8"/>
    <w:rsid w:val="007F5F5F"/>
    <w:rsid w:val="007F6C9C"/>
    <w:rsid w:val="00806A12"/>
    <w:rsid w:val="00806A22"/>
    <w:rsid w:val="0080704D"/>
    <w:rsid w:val="00817674"/>
    <w:rsid w:val="00817CA0"/>
    <w:rsid w:val="00822C12"/>
    <w:rsid w:val="00836D3C"/>
    <w:rsid w:val="00837C2B"/>
    <w:rsid w:val="008441BE"/>
    <w:rsid w:val="00845101"/>
    <w:rsid w:val="00846013"/>
    <w:rsid w:val="00857436"/>
    <w:rsid w:val="00857C23"/>
    <w:rsid w:val="00857D4A"/>
    <w:rsid w:val="0086219E"/>
    <w:rsid w:val="00862FAB"/>
    <w:rsid w:val="00866E9E"/>
    <w:rsid w:val="00870BDA"/>
    <w:rsid w:val="00873291"/>
    <w:rsid w:val="00874B8B"/>
    <w:rsid w:val="008801A1"/>
    <w:rsid w:val="008816F2"/>
    <w:rsid w:val="00883CFD"/>
    <w:rsid w:val="00887E43"/>
    <w:rsid w:val="008937A7"/>
    <w:rsid w:val="0089435F"/>
    <w:rsid w:val="0089457D"/>
    <w:rsid w:val="008953CD"/>
    <w:rsid w:val="008A2849"/>
    <w:rsid w:val="008A65C3"/>
    <w:rsid w:val="008B18CC"/>
    <w:rsid w:val="008B4EF9"/>
    <w:rsid w:val="008B4F7B"/>
    <w:rsid w:val="008B6B51"/>
    <w:rsid w:val="008B6C1F"/>
    <w:rsid w:val="008C4269"/>
    <w:rsid w:val="008C5A7B"/>
    <w:rsid w:val="008C7990"/>
    <w:rsid w:val="008D17CD"/>
    <w:rsid w:val="008D21CA"/>
    <w:rsid w:val="008D38C6"/>
    <w:rsid w:val="008D5F4C"/>
    <w:rsid w:val="008D6E20"/>
    <w:rsid w:val="008E08D1"/>
    <w:rsid w:val="008E1F74"/>
    <w:rsid w:val="008E2196"/>
    <w:rsid w:val="008E48FF"/>
    <w:rsid w:val="008E511F"/>
    <w:rsid w:val="008E7261"/>
    <w:rsid w:val="008F461C"/>
    <w:rsid w:val="008F6C1F"/>
    <w:rsid w:val="00902403"/>
    <w:rsid w:val="0090321F"/>
    <w:rsid w:val="00904E47"/>
    <w:rsid w:val="00905DC5"/>
    <w:rsid w:val="00910EEA"/>
    <w:rsid w:val="009111A5"/>
    <w:rsid w:val="00912B56"/>
    <w:rsid w:val="00915505"/>
    <w:rsid w:val="009225E6"/>
    <w:rsid w:val="00923A5B"/>
    <w:rsid w:val="0092488F"/>
    <w:rsid w:val="00927CF6"/>
    <w:rsid w:val="00930342"/>
    <w:rsid w:val="00934B80"/>
    <w:rsid w:val="009403F9"/>
    <w:rsid w:val="0094297B"/>
    <w:rsid w:val="00942BE3"/>
    <w:rsid w:val="009462DD"/>
    <w:rsid w:val="00954E5D"/>
    <w:rsid w:val="00955C53"/>
    <w:rsid w:val="009624B7"/>
    <w:rsid w:val="009704AF"/>
    <w:rsid w:val="009734B6"/>
    <w:rsid w:val="0097375D"/>
    <w:rsid w:val="009806EE"/>
    <w:rsid w:val="00987408"/>
    <w:rsid w:val="009A152A"/>
    <w:rsid w:val="009A5DAD"/>
    <w:rsid w:val="009A7353"/>
    <w:rsid w:val="009A78B3"/>
    <w:rsid w:val="009B3FFA"/>
    <w:rsid w:val="009B53C4"/>
    <w:rsid w:val="009B5DA6"/>
    <w:rsid w:val="009C03B2"/>
    <w:rsid w:val="009D0CFC"/>
    <w:rsid w:val="009D1408"/>
    <w:rsid w:val="009D23FA"/>
    <w:rsid w:val="009D2C73"/>
    <w:rsid w:val="009D42A8"/>
    <w:rsid w:val="009D42D7"/>
    <w:rsid w:val="009D61A2"/>
    <w:rsid w:val="009D7CEE"/>
    <w:rsid w:val="009E2AF9"/>
    <w:rsid w:val="009E325F"/>
    <w:rsid w:val="009F4877"/>
    <w:rsid w:val="009F6A82"/>
    <w:rsid w:val="00A01451"/>
    <w:rsid w:val="00A065DD"/>
    <w:rsid w:val="00A1569B"/>
    <w:rsid w:val="00A1786C"/>
    <w:rsid w:val="00A20CD8"/>
    <w:rsid w:val="00A20F3C"/>
    <w:rsid w:val="00A24053"/>
    <w:rsid w:val="00A31D7E"/>
    <w:rsid w:val="00A36A7E"/>
    <w:rsid w:val="00A436AB"/>
    <w:rsid w:val="00A51906"/>
    <w:rsid w:val="00A549F3"/>
    <w:rsid w:val="00A55A7F"/>
    <w:rsid w:val="00A64773"/>
    <w:rsid w:val="00A710FB"/>
    <w:rsid w:val="00A71684"/>
    <w:rsid w:val="00A72B60"/>
    <w:rsid w:val="00A81384"/>
    <w:rsid w:val="00A84DBA"/>
    <w:rsid w:val="00A84F9F"/>
    <w:rsid w:val="00A9096D"/>
    <w:rsid w:val="00A90CB8"/>
    <w:rsid w:val="00A95CEF"/>
    <w:rsid w:val="00AA13A7"/>
    <w:rsid w:val="00AA265A"/>
    <w:rsid w:val="00AA5D09"/>
    <w:rsid w:val="00AB021E"/>
    <w:rsid w:val="00AB098A"/>
    <w:rsid w:val="00AB0CE7"/>
    <w:rsid w:val="00AB156E"/>
    <w:rsid w:val="00AB3938"/>
    <w:rsid w:val="00AC15A7"/>
    <w:rsid w:val="00AC1DE1"/>
    <w:rsid w:val="00AC560C"/>
    <w:rsid w:val="00AC5897"/>
    <w:rsid w:val="00AC5DCB"/>
    <w:rsid w:val="00AD1C7C"/>
    <w:rsid w:val="00AD220C"/>
    <w:rsid w:val="00AD28A5"/>
    <w:rsid w:val="00AD3556"/>
    <w:rsid w:val="00AD5E47"/>
    <w:rsid w:val="00AD7CDC"/>
    <w:rsid w:val="00AE2244"/>
    <w:rsid w:val="00AE29B9"/>
    <w:rsid w:val="00AE5B1D"/>
    <w:rsid w:val="00AE784D"/>
    <w:rsid w:val="00AF05F2"/>
    <w:rsid w:val="00AF0961"/>
    <w:rsid w:val="00AF3CD3"/>
    <w:rsid w:val="00AF5C65"/>
    <w:rsid w:val="00AF67A0"/>
    <w:rsid w:val="00B008B3"/>
    <w:rsid w:val="00B02750"/>
    <w:rsid w:val="00B02858"/>
    <w:rsid w:val="00B05F71"/>
    <w:rsid w:val="00B12EC9"/>
    <w:rsid w:val="00B21DB0"/>
    <w:rsid w:val="00B308DC"/>
    <w:rsid w:val="00B30AD1"/>
    <w:rsid w:val="00B31BF5"/>
    <w:rsid w:val="00B35393"/>
    <w:rsid w:val="00B35D3A"/>
    <w:rsid w:val="00B376D7"/>
    <w:rsid w:val="00B41C65"/>
    <w:rsid w:val="00B44D5A"/>
    <w:rsid w:val="00B5338C"/>
    <w:rsid w:val="00B544B9"/>
    <w:rsid w:val="00B549D7"/>
    <w:rsid w:val="00B6306B"/>
    <w:rsid w:val="00B6469F"/>
    <w:rsid w:val="00B75ECC"/>
    <w:rsid w:val="00B77996"/>
    <w:rsid w:val="00B849DD"/>
    <w:rsid w:val="00B865C3"/>
    <w:rsid w:val="00B870CB"/>
    <w:rsid w:val="00B9279B"/>
    <w:rsid w:val="00B94C93"/>
    <w:rsid w:val="00B95B53"/>
    <w:rsid w:val="00B96AF4"/>
    <w:rsid w:val="00BA1155"/>
    <w:rsid w:val="00BA3FCD"/>
    <w:rsid w:val="00BA465A"/>
    <w:rsid w:val="00BB04ED"/>
    <w:rsid w:val="00BB351B"/>
    <w:rsid w:val="00BB6D7B"/>
    <w:rsid w:val="00BB7F52"/>
    <w:rsid w:val="00BC06CD"/>
    <w:rsid w:val="00BC4D40"/>
    <w:rsid w:val="00BC4DED"/>
    <w:rsid w:val="00BC4EAB"/>
    <w:rsid w:val="00BC5076"/>
    <w:rsid w:val="00BD02EC"/>
    <w:rsid w:val="00BD2AE1"/>
    <w:rsid w:val="00BD6165"/>
    <w:rsid w:val="00BD7139"/>
    <w:rsid w:val="00BE059C"/>
    <w:rsid w:val="00BE2562"/>
    <w:rsid w:val="00BF097A"/>
    <w:rsid w:val="00BF681D"/>
    <w:rsid w:val="00C0043F"/>
    <w:rsid w:val="00C0282A"/>
    <w:rsid w:val="00C0386F"/>
    <w:rsid w:val="00C04A80"/>
    <w:rsid w:val="00C06797"/>
    <w:rsid w:val="00C12E4B"/>
    <w:rsid w:val="00C1530B"/>
    <w:rsid w:val="00C205EE"/>
    <w:rsid w:val="00C22DFB"/>
    <w:rsid w:val="00C24CF9"/>
    <w:rsid w:val="00C30BCC"/>
    <w:rsid w:val="00C32429"/>
    <w:rsid w:val="00C3339E"/>
    <w:rsid w:val="00C339D5"/>
    <w:rsid w:val="00C37BFF"/>
    <w:rsid w:val="00C41E5D"/>
    <w:rsid w:val="00C502DB"/>
    <w:rsid w:val="00C51B5E"/>
    <w:rsid w:val="00C57BA7"/>
    <w:rsid w:val="00C60861"/>
    <w:rsid w:val="00C64D28"/>
    <w:rsid w:val="00C653CF"/>
    <w:rsid w:val="00C654A4"/>
    <w:rsid w:val="00C7500D"/>
    <w:rsid w:val="00C7517B"/>
    <w:rsid w:val="00C75F2C"/>
    <w:rsid w:val="00C8026D"/>
    <w:rsid w:val="00C82F23"/>
    <w:rsid w:val="00C83E8E"/>
    <w:rsid w:val="00C8499B"/>
    <w:rsid w:val="00C8695C"/>
    <w:rsid w:val="00C87586"/>
    <w:rsid w:val="00C93A1B"/>
    <w:rsid w:val="00C959B4"/>
    <w:rsid w:val="00C9774D"/>
    <w:rsid w:val="00CA6363"/>
    <w:rsid w:val="00CA78FA"/>
    <w:rsid w:val="00CB0F32"/>
    <w:rsid w:val="00CB27F8"/>
    <w:rsid w:val="00CB527C"/>
    <w:rsid w:val="00CB5EE9"/>
    <w:rsid w:val="00CB6441"/>
    <w:rsid w:val="00CB7BFA"/>
    <w:rsid w:val="00CC0822"/>
    <w:rsid w:val="00CC2B55"/>
    <w:rsid w:val="00CC35B0"/>
    <w:rsid w:val="00CC6021"/>
    <w:rsid w:val="00CD2F77"/>
    <w:rsid w:val="00CD4880"/>
    <w:rsid w:val="00CD48B8"/>
    <w:rsid w:val="00CD4CB9"/>
    <w:rsid w:val="00CD74EA"/>
    <w:rsid w:val="00CE0584"/>
    <w:rsid w:val="00CE1962"/>
    <w:rsid w:val="00CE2543"/>
    <w:rsid w:val="00CE376E"/>
    <w:rsid w:val="00CF23E3"/>
    <w:rsid w:val="00CF5813"/>
    <w:rsid w:val="00CF684C"/>
    <w:rsid w:val="00D00471"/>
    <w:rsid w:val="00D00F4C"/>
    <w:rsid w:val="00D05A48"/>
    <w:rsid w:val="00D078C1"/>
    <w:rsid w:val="00D12F5E"/>
    <w:rsid w:val="00D14284"/>
    <w:rsid w:val="00D1544A"/>
    <w:rsid w:val="00D164EC"/>
    <w:rsid w:val="00D17062"/>
    <w:rsid w:val="00D22374"/>
    <w:rsid w:val="00D305D9"/>
    <w:rsid w:val="00D31457"/>
    <w:rsid w:val="00D315DA"/>
    <w:rsid w:val="00D32EEF"/>
    <w:rsid w:val="00D34C45"/>
    <w:rsid w:val="00D350F9"/>
    <w:rsid w:val="00D41812"/>
    <w:rsid w:val="00D51622"/>
    <w:rsid w:val="00D52DC2"/>
    <w:rsid w:val="00D57AB3"/>
    <w:rsid w:val="00D62F08"/>
    <w:rsid w:val="00D64DF5"/>
    <w:rsid w:val="00D66156"/>
    <w:rsid w:val="00D67E75"/>
    <w:rsid w:val="00D71858"/>
    <w:rsid w:val="00D75608"/>
    <w:rsid w:val="00D763BE"/>
    <w:rsid w:val="00D7650B"/>
    <w:rsid w:val="00D7770D"/>
    <w:rsid w:val="00D85F6A"/>
    <w:rsid w:val="00D9245B"/>
    <w:rsid w:val="00D926E0"/>
    <w:rsid w:val="00D93810"/>
    <w:rsid w:val="00D93C64"/>
    <w:rsid w:val="00D93CF6"/>
    <w:rsid w:val="00D94367"/>
    <w:rsid w:val="00D944A5"/>
    <w:rsid w:val="00D94CDF"/>
    <w:rsid w:val="00DA0218"/>
    <w:rsid w:val="00DA741B"/>
    <w:rsid w:val="00DB106F"/>
    <w:rsid w:val="00DB396D"/>
    <w:rsid w:val="00DB4843"/>
    <w:rsid w:val="00DB5A81"/>
    <w:rsid w:val="00DB5FA2"/>
    <w:rsid w:val="00DB6E57"/>
    <w:rsid w:val="00DC08EB"/>
    <w:rsid w:val="00DC55B0"/>
    <w:rsid w:val="00DD6B9C"/>
    <w:rsid w:val="00DD703B"/>
    <w:rsid w:val="00DD710B"/>
    <w:rsid w:val="00DE163E"/>
    <w:rsid w:val="00DE25D5"/>
    <w:rsid w:val="00DE6E98"/>
    <w:rsid w:val="00DF1586"/>
    <w:rsid w:val="00DF34CE"/>
    <w:rsid w:val="00DF5809"/>
    <w:rsid w:val="00E0020F"/>
    <w:rsid w:val="00E077F3"/>
    <w:rsid w:val="00E14AF8"/>
    <w:rsid w:val="00E16432"/>
    <w:rsid w:val="00E23867"/>
    <w:rsid w:val="00E268B9"/>
    <w:rsid w:val="00E26F0F"/>
    <w:rsid w:val="00E32DBC"/>
    <w:rsid w:val="00E3673A"/>
    <w:rsid w:val="00E45AE7"/>
    <w:rsid w:val="00E53409"/>
    <w:rsid w:val="00E55AF9"/>
    <w:rsid w:val="00E579DD"/>
    <w:rsid w:val="00E61175"/>
    <w:rsid w:val="00E624BD"/>
    <w:rsid w:val="00E75914"/>
    <w:rsid w:val="00E76E17"/>
    <w:rsid w:val="00E7761F"/>
    <w:rsid w:val="00E803C0"/>
    <w:rsid w:val="00E83D66"/>
    <w:rsid w:val="00E86771"/>
    <w:rsid w:val="00E90D24"/>
    <w:rsid w:val="00E914FF"/>
    <w:rsid w:val="00E92652"/>
    <w:rsid w:val="00E9360C"/>
    <w:rsid w:val="00E955BF"/>
    <w:rsid w:val="00E959A3"/>
    <w:rsid w:val="00E97022"/>
    <w:rsid w:val="00E977B7"/>
    <w:rsid w:val="00E9798E"/>
    <w:rsid w:val="00EA237C"/>
    <w:rsid w:val="00EA26BA"/>
    <w:rsid w:val="00EA4ED6"/>
    <w:rsid w:val="00EB32A7"/>
    <w:rsid w:val="00EB5129"/>
    <w:rsid w:val="00EC1DA7"/>
    <w:rsid w:val="00EC3059"/>
    <w:rsid w:val="00EC4D0F"/>
    <w:rsid w:val="00EC61D1"/>
    <w:rsid w:val="00EC67D3"/>
    <w:rsid w:val="00ED073E"/>
    <w:rsid w:val="00ED5EB8"/>
    <w:rsid w:val="00EE1590"/>
    <w:rsid w:val="00EE3FCA"/>
    <w:rsid w:val="00EE6ACD"/>
    <w:rsid w:val="00EF311D"/>
    <w:rsid w:val="00EF4E7B"/>
    <w:rsid w:val="00EF7582"/>
    <w:rsid w:val="00F0044D"/>
    <w:rsid w:val="00F028B8"/>
    <w:rsid w:val="00F046D2"/>
    <w:rsid w:val="00F056CD"/>
    <w:rsid w:val="00F10D0F"/>
    <w:rsid w:val="00F15F78"/>
    <w:rsid w:val="00F21032"/>
    <w:rsid w:val="00F22559"/>
    <w:rsid w:val="00F24401"/>
    <w:rsid w:val="00F316C4"/>
    <w:rsid w:val="00F316E3"/>
    <w:rsid w:val="00F333F7"/>
    <w:rsid w:val="00F337BC"/>
    <w:rsid w:val="00F36D8F"/>
    <w:rsid w:val="00F36F13"/>
    <w:rsid w:val="00F40C7B"/>
    <w:rsid w:val="00F45137"/>
    <w:rsid w:val="00F465F3"/>
    <w:rsid w:val="00F521B1"/>
    <w:rsid w:val="00F54039"/>
    <w:rsid w:val="00F54FD4"/>
    <w:rsid w:val="00F57334"/>
    <w:rsid w:val="00F62B67"/>
    <w:rsid w:val="00F65F7A"/>
    <w:rsid w:val="00F66F14"/>
    <w:rsid w:val="00F67057"/>
    <w:rsid w:val="00F7041B"/>
    <w:rsid w:val="00F72375"/>
    <w:rsid w:val="00F72C0E"/>
    <w:rsid w:val="00F72D5E"/>
    <w:rsid w:val="00F8109F"/>
    <w:rsid w:val="00F8454A"/>
    <w:rsid w:val="00F86564"/>
    <w:rsid w:val="00F906CC"/>
    <w:rsid w:val="00F933E0"/>
    <w:rsid w:val="00F94D8D"/>
    <w:rsid w:val="00F966E6"/>
    <w:rsid w:val="00FB1137"/>
    <w:rsid w:val="00FB3029"/>
    <w:rsid w:val="00FB682C"/>
    <w:rsid w:val="00FC0C66"/>
    <w:rsid w:val="00FC2E67"/>
    <w:rsid w:val="00FC6ABE"/>
    <w:rsid w:val="00FC73D3"/>
    <w:rsid w:val="00FD0F34"/>
    <w:rsid w:val="00FD6163"/>
    <w:rsid w:val="00FD7AB9"/>
    <w:rsid w:val="00FE2DB5"/>
    <w:rsid w:val="00FE3224"/>
    <w:rsid w:val="00FE5D12"/>
    <w:rsid w:val="00FF0FCC"/>
    <w:rsid w:val="00FF1343"/>
    <w:rsid w:val="00FF1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0F52166"/>
  <w15:chartTrackingRefBased/>
  <w15:docId w15:val="{AA559973-43BA-455A-974E-0CCE5ECA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4D"/>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44D"/>
    <w:pPr>
      <w:tabs>
        <w:tab w:val="center" w:pos="4320"/>
        <w:tab w:val="right" w:pos="8640"/>
      </w:tabs>
    </w:pPr>
  </w:style>
  <w:style w:type="character" w:customStyle="1" w:styleId="HeaderChar">
    <w:name w:val="Header Char"/>
    <w:link w:val="Header"/>
    <w:rsid w:val="00F0044D"/>
    <w:rPr>
      <w:rFonts w:ascii="Arial" w:eastAsia="Times New Roman" w:hAnsi="Arial" w:cs="Arial"/>
      <w:sz w:val="24"/>
      <w:szCs w:val="24"/>
      <w:lang w:eastAsia="en-US"/>
    </w:rPr>
  </w:style>
  <w:style w:type="paragraph" w:customStyle="1" w:styleId="CharCharCharChar2">
    <w:name w:val="Char Char Char Char2"/>
    <w:basedOn w:val="Normal"/>
    <w:locked/>
    <w:rsid w:val="00EE6ACD"/>
    <w:pPr>
      <w:spacing w:after="160" w:line="240" w:lineRule="exact"/>
    </w:pPr>
    <w:rPr>
      <w:rFonts w:ascii="Verdana" w:eastAsia="MS ??" w:hAnsi="Verdana" w:cs="Verdana"/>
      <w:sz w:val="20"/>
      <w:szCs w:val="20"/>
      <w:lang w:val="en-US"/>
    </w:rPr>
  </w:style>
  <w:style w:type="paragraph" w:styleId="ListParagraph">
    <w:name w:val="List Paragraph"/>
    <w:basedOn w:val="Normal"/>
    <w:uiPriority w:val="34"/>
    <w:qFormat/>
    <w:rsid w:val="00B94C93"/>
    <w:pPr>
      <w:ind w:left="720"/>
    </w:pPr>
  </w:style>
  <w:style w:type="paragraph" w:styleId="Footer">
    <w:name w:val="footer"/>
    <w:basedOn w:val="Normal"/>
    <w:link w:val="FooterChar"/>
    <w:uiPriority w:val="99"/>
    <w:unhideWhenUsed/>
    <w:rsid w:val="009A78B3"/>
    <w:pPr>
      <w:tabs>
        <w:tab w:val="center" w:pos="4513"/>
        <w:tab w:val="right" w:pos="9026"/>
      </w:tabs>
    </w:pPr>
  </w:style>
  <w:style w:type="character" w:customStyle="1" w:styleId="FooterChar">
    <w:name w:val="Footer Char"/>
    <w:link w:val="Footer"/>
    <w:uiPriority w:val="99"/>
    <w:rsid w:val="009A78B3"/>
    <w:rPr>
      <w:rFonts w:ascii="Arial" w:eastAsia="Times New Roman" w:hAnsi="Arial" w:cs="Arial"/>
      <w:sz w:val="24"/>
      <w:szCs w:val="24"/>
      <w:lang w:eastAsia="en-US"/>
    </w:rPr>
  </w:style>
  <w:style w:type="paragraph" w:styleId="FootnoteText">
    <w:name w:val="footnote text"/>
    <w:basedOn w:val="Normal"/>
    <w:link w:val="FootnoteTextChar"/>
    <w:uiPriority w:val="99"/>
    <w:semiHidden/>
    <w:unhideWhenUsed/>
    <w:rsid w:val="00142DBE"/>
    <w:rPr>
      <w:sz w:val="20"/>
      <w:szCs w:val="20"/>
    </w:rPr>
  </w:style>
  <w:style w:type="character" w:customStyle="1" w:styleId="FootnoteTextChar">
    <w:name w:val="Footnote Text Char"/>
    <w:link w:val="FootnoteText"/>
    <w:uiPriority w:val="99"/>
    <w:semiHidden/>
    <w:rsid w:val="00142DBE"/>
    <w:rPr>
      <w:rFonts w:ascii="Arial" w:eastAsia="Times New Roman" w:hAnsi="Arial" w:cs="Arial"/>
      <w:lang w:eastAsia="en-US"/>
    </w:rPr>
  </w:style>
  <w:style w:type="character" w:styleId="FootnoteReference">
    <w:name w:val="footnote reference"/>
    <w:uiPriority w:val="99"/>
    <w:semiHidden/>
    <w:unhideWhenUsed/>
    <w:rsid w:val="00142DBE"/>
    <w:rPr>
      <w:vertAlign w:val="superscript"/>
    </w:rPr>
  </w:style>
  <w:style w:type="character" w:styleId="Hyperlink">
    <w:name w:val="Hyperlink"/>
    <w:uiPriority w:val="99"/>
    <w:unhideWhenUsed/>
    <w:rsid w:val="00377E71"/>
    <w:rPr>
      <w:color w:val="0000FF"/>
      <w:u w:val="single"/>
    </w:rPr>
  </w:style>
  <w:style w:type="paragraph" w:styleId="BalloonText">
    <w:name w:val="Balloon Text"/>
    <w:basedOn w:val="Normal"/>
    <w:link w:val="BalloonTextChar"/>
    <w:uiPriority w:val="99"/>
    <w:semiHidden/>
    <w:unhideWhenUsed/>
    <w:rsid w:val="00FE3224"/>
    <w:rPr>
      <w:rFonts w:ascii="Tahoma" w:hAnsi="Tahoma" w:cs="Tahoma"/>
      <w:sz w:val="16"/>
      <w:szCs w:val="16"/>
    </w:rPr>
  </w:style>
  <w:style w:type="character" w:customStyle="1" w:styleId="BalloonTextChar">
    <w:name w:val="Balloon Text Char"/>
    <w:link w:val="BalloonText"/>
    <w:uiPriority w:val="99"/>
    <w:semiHidden/>
    <w:rsid w:val="00FE3224"/>
    <w:rPr>
      <w:rFonts w:ascii="Tahoma" w:eastAsia="Times New Roman" w:hAnsi="Tahoma" w:cs="Tahoma"/>
      <w:sz w:val="16"/>
      <w:szCs w:val="16"/>
      <w:lang w:eastAsia="en-US"/>
    </w:rPr>
  </w:style>
  <w:style w:type="character" w:styleId="CommentReference">
    <w:name w:val="annotation reference"/>
    <w:uiPriority w:val="99"/>
    <w:semiHidden/>
    <w:unhideWhenUsed/>
    <w:rsid w:val="00AB3938"/>
    <w:rPr>
      <w:sz w:val="16"/>
      <w:szCs w:val="16"/>
    </w:rPr>
  </w:style>
  <w:style w:type="paragraph" w:styleId="CommentText">
    <w:name w:val="annotation text"/>
    <w:basedOn w:val="Normal"/>
    <w:link w:val="CommentTextChar"/>
    <w:uiPriority w:val="99"/>
    <w:semiHidden/>
    <w:unhideWhenUsed/>
    <w:rsid w:val="00AB3938"/>
    <w:rPr>
      <w:sz w:val="20"/>
      <w:szCs w:val="20"/>
    </w:rPr>
  </w:style>
  <w:style w:type="character" w:customStyle="1" w:styleId="CommentTextChar">
    <w:name w:val="Comment Text Char"/>
    <w:link w:val="CommentText"/>
    <w:uiPriority w:val="99"/>
    <w:semiHidden/>
    <w:rsid w:val="00AB3938"/>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AB3938"/>
    <w:rPr>
      <w:b/>
      <w:bCs/>
    </w:rPr>
  </w:style>
  <w:style w:type="character" w:customStyle="1" w:styleId="CommentSubjectChar">
    <w:name w:val="Comment Subject Char"/>
    <w:link w:val="CommentSubject"/>
    <w:uiPriority w:val="99"/>
    <w:semiHidden/>
    <w:rsid w:val="00AB3938"/>
    <w:rPr>
      <w:rFonts w:ascii="Arial" w:eastAsia="Times New Roman" w:hAnsi="Arial" w:cs="Arial"/>
      <w:b/>
      <w:bCs/>
      <w:lang w:eastAsia="en-US"/>
    </w:rPr>
  </w:style>
  <w:style w:type="paragraph" w:customStyle="1" w:styleId="Default">
    <w:name w:val="Default"/>
    <w:rsid w:val="00AD220C"/>
    <w:pPr>
      <w:autoSpaceDE w:val="0"/>
      <w:autoSpaceDN w:val="0"/>
      <w:adjustRightInd w:val="0"/>
    </w:pPr>
    <w:rPr>
      <w:rFonts w:ascii="Arial" w:hAnsi="Arial" w:cs="Arial"/>
      <w:color w:val="000000"/>
      <w:sz w:val="24"/>
      <w:szCs w:val="24"/>
    </w:rPr>
  </w:style>
  <w:style w:type="table" w:styleId="TableGrid">
    <w:name w:val="Table Grid"/>
    <w:basedOn w:val="TableNormal"/>
    <w:rsid w:val="008C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55C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027847">
      <w:bodyDiv w:val="1"/>
      <w:marLeft w:val="0"/>
      <w:marRight w:val="0"/>
      <w:marTop w:val="0"/>
      <w:marBottom w:val="0"/>
      <w:divBdr>
        <w:top w:val="none" w:sz="0" w:space="0" w:color="auto"/>
        <w:left w:val="none" w:sz="0" w:space="0" w:color="auto"/>
        <w:bottom w:val="none" w:sz="0" w:space="0" w:color="auto"/>
        <w:right w:val="none" w:sz="0" w:space="0" w:color="auto"/>
      </w:divBdr>
      <w:divsChild>
        <w:div w:id="121929132">
          <w:marLeft w:val="547"/>
          <w:marRight w:val="0"/>
          <w:marTop w:val="58"/>
          <w:marBottom w:val="0"/>
          <w:divBdr>
            <w:top w:val="none" w:sz="0" w:space="0" w:color="auto"/>
            <w:left w:val="none" w:sz="0" w:space="0" w:color="auto"/>
            <w:bottom w:val="none" w:sz="0" w:space="0" w:color="auto"/>
            <w:right w:val="none" w:sz="0" w:space="0" w:color="auto"/>
          </w:divBdr>
        </w:div>
        <w:div w:id="609818919">
          <w:marLeft w:val="547"/>
          <w:marRight w:val="0"/>
          <w:marTop w:val="58"/>
          <w:marBottom w:val="0"/>
          <w:divBdr>
            <w:top w:val="none" w:sz="0" w:space="0" w:color="auto"/>
            <w:left w:val="none" w:sz="0" w:space="0" w:color="auto"/>
            <w:bottom w:val="none" w:sz="0" w:space="0" w:color="auto"/>
            <w:right w:val="none" w:sz="0" w:space="0" w:color="auto"/>
          </w:divBdr>
        </w:div>
        <w:div w:id="708603129">
          <w:marLeft w:val="547"/>
          <w:marRight w:val="0"/>
          <w:marTop w:val="58"/>
          <w:marBottom w:val="0"/>
          <w:divBdr>
            <w:top w:val="none" w:sz="0" w:space="0" w:color="auto"/>
            <w:left w:val="none" w:sz="0" w:space="0" w:color="auto"/>
            <w:bottom w:val="none" w:sz="0" w:space="0" w:color="auto"/>
            <w:right w:val="none" w:sz="0" w:space="0" w:color="auto"/>
          </w:divBdr>
        </w:div>
        <w:div w:id="772172446">
          <w:marLeft w:val="547"/>
          <w:marRight w:val="0"/>
          <w:marTop w:val="58"/>
          <w:marBottom w:val="0"/>
          <w:divBdr>
            <w:top w:val="none" w:sz="0" w:space="0" w:color="auto"/>
            <w:left w:val="none" w:sz="0" w:space="0" w:color="auto"/>
            <w:bottom w:val="none" w:sz="0" w:space="0" w:color="auto"/>
            <w:right w:val="none" w:sz="0" w:space="0" w:color="auto"/>
          </w:divBdr>
        </w:div>
        <w:div w:id="1850873968">
          <w:marLeft w:val="547"/>
          <w:marRight w:val="0"/>
          <w:marTop w:val="58"/>
          <w:marBottom w:val="0"/>
          <w:divBdr>
            <w:top w:val="none" w:sz="0" w:space="0" w:color="auto"/>
            <w:left w:val="none" w:sz="0" w:space="0" w:color="auto"/>
            <w:bottom w:val="none" w:sz="0" w:space="0" w:color="auto"/>
            <w:right w:val="none" w:sz="0" w:space="0" w:color="auto"/>
          </w:divBdr>
        </w:div>
        <w:div w:id="1973946596">
          <w:marLeft w:val="547"/>
          <w:marRight w:val="0"/>
          <w:marTop w:val="58"/>
          <w:marBottom w:val="0"/>
          <w:divBdr>
            <w:top w:val="none" w:sz="0" w:space="0" w:color="auto"/>
            <w:left w:val="none" w:sz="0" w:space="0" w:color="auto"/>
            <w:bottom w:val="none" w:sz="0" w:space="0" w:color="auto"/>
            <w:right w:val="none" w:sz="0" w:space="0" w:color="auto"/>
          </w:divBdr>
        </w:div>
      </w:divsChild>
    </w:div>
    <w:div w:id="9396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fas.org.uk/newsroom/false-housing-benefit-claims?utm_source=http%3a%2f%2femail.cipfa.org.uk%2fcipfamiddlewarelz%2f&amp;utm_medium=email&amp;utm_campaign=CFC+NWS+VS+newsletter+OCT19+(16648-CIP)&amp;utm_term=The+latest+articles%2c+news%2c+tips+and+events&amp;utm_content=3786&amp;gator_td=x2fH5mGCx%2fn%2f%2b9%2fLZOtZF9c0vuHePvQt3%2bJnf2XgyFGnr7c5l8segf72ht%2fg5vejcLJ6wKGCIeImMQOopovfwugN92dO3kJcAnnIl9PYO6Bps%2bz5iqt4oyBsNSgGZN%2bDB5vhfmYdbV%2b58abh1eBlA3lVhbqhCx2AzIO3BkD7YCmF6y29AIDzXaScty6dLs4Ma1y38xpMlC8zAIaVmNgoZ4hrIl0eZy1ZsgfXEjO9shU%3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9" ma:contentTypeDescription="Create a new document." ma:contentTypeScope="" ma:versionID="1de76b19ba15bbe30ddbbe193211561a">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0c7c875071d119506540101569352fa2"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E7A0-78CE-4ABF-8117-A7608DD18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E3336-DD56-4523-A122-C7871567817E}">
  <ds:schemaRefs>
    <ds:schemaRef ds:uri="http://schemas.microsoft.com/office/2006/documentManagement/types"/>
    <ds:schemaRef ds:uri="http://schemas.microsoft.com/office/infopath/2007/PartnerControls"/>
    <ds:schemaRef ds:uri="27de0dcf-7e4b-46ba-b260-4cfde2c33e74"/>
    <ds:schemaRef ds:uri="http://purl.org/dc/elements/1.1/"/>
    <ds:schemaRef ds:uri="http://schemas.microsoft.com/office/2006/metadata/properties"/>
    <ds:schemaRef ds:uri="c6bdeb93-2270-4bf7-9e85-6688a4728aea"/>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6A56DBB-AD99-449F-A611-477A0644BF13}">
  <ds:schemaRefs>
    <ds:schemaRef ds:uri="http://schemas.microsoft.com/sharepoint/v3/contenttype/forms"/>
  </ds:schemaRefs>
</ds:datastoreItem>
</file>

<file path=customXml/itemProps4.xml><?xml version="1.0" encoding="utf-8"?>
<ds:datastoreItem xmlns:ds="http://schemas.openxmlformats.org/officeDocument/2006/customXml" ds:itemID="{6D4C95EF-7D64-4FB3-882E-5DB1A6C8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3867</Words>
  <Characters>22042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25858</CharactersWithSpaces>
  <SharedDoc>false</SharedDoc>
  <HLinks>
    <vt:vector size="6" baseType="variant">
      <vt:variant>
        <vt:i4>5177372</vt:i4>
      </vt:variant>
      <vt:variant>
        <vt:i4>0</vt:i4>
      </vt:variant>
      <vt:variant>
        <vt:i4>0</vt:i4>
      </vt:variant>
      <vt:variant>
        <vt:i4>5</vt:i4>
      </vt:variant>
      <vt:variant>
        <vt:lpwstr>https://www.cifas.org.uk/newsroom/false-housing-benefit-claims?utm_source=http%3a%2f%2femail.cipfa.org.uk%2fcipfamiddlewarelz%2f&amp;utm_medium=email&amp;utm_campaign=CFC+NWS+VS+newsletter+OCT19+(16648-CIP)&amp;utm_term=The+latest+articles%2c+news%2c+tips+and+events&amp;utm_content=3786&amp;gator_td=x2fH5mGCx%2fn%2f%2b9%2fLZOtZF9c0vuHePvQt3%2bJnf2XgyFGnr7c5l8segf72ht%2fg5vejcLJ6wKGCIeImMQOopovfwugN92dO3kJcAnnIl9PYO6Bps%2bz5iqt4oyBsNSgGZN%2bDB5vhfmYdbV%2b58abh1eBlA3lVhbqhCx2AzIO3BkD7YCmF6y29AIDzXaScty6dLs4Ma1y38xpMlC8zAIaVmNgoZ4hrIl0eZy1ZsgfXEjO9shU%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Phillips (Anti Fraud)</dc:creator>
  <cp:keywords/>
  <cp:lastModifiedBy>Susan Dixson</cp:lastModifiedBy>
  <cp:revision>2</cp:revision>
  <cp:lastPrinted>2019-01-16T15:29:00Z</cp:lastPrinted>
  <dcterms:created xsi:type="dcterms:W3CDTF">2020-08-26T10:42:00Z</dcterms:created>
  <dcterms:modified xsi:type="dcterms:W3CDTF">2020-08-26T10:42:00Z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